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5D" w:rsidRPr="003756CF" w:rsidRDefault="005E7B5D" w:rsidP="000F1A1B">
      <w:pPr>
        <w:spacing w:after="120" w:line="360" w:lineRule="auto"/>
        <w:ind w:left="-720"/>
        <w:jc w:val="center"/>
        <w:rPr>
          <w:rFonts w:ascii="Times New Roman" w:hAnsi="Times New Roman" w:cs="Times New Roman"/>
          <w:b/>
          <w:sz w:val="28"/>
          <w:szCs w:val="28"/>
          <w:u w:val="single"/>
        </w:rPr>
      </w:pPr>
      <w:r w:rsidRPr="003756CF">
        <w:rPr>
          <w:rFonts w:ascii="Times New Roman" w:hAnsi="Times New Roman" w:cs="Times New Roman"/>
          <w:b/>
          <w:sz w:val="28"/>
          <w:szCs w:val="28"/>
          <w:u w:val="single"/>
        </w:rPr>
        <w:t>Walla Walla Basin Bi-State Flow Study</w:t>
      </w:r>
      <w:r w:rsidR="000F1A1B" w:rsidRPr="003756CF">
        <w:rPr>
          <w:rFonts w:ascii="Times New Roman" w:hAnsi="Times New Roman" w:cs="Times New Roman"/>
          <w:b/>
          <w:sz w:val="28"/>
          <w:szCs w:val="28"/>
          <w:u w:val="single"/>
        </w:rPr>
        <w:t xml:space="preserve"> </w:t>
      </w:r>
      <w:r w:rsidR="003756CF" w:rsidRPr="003756CF">
        <w:rPr>
          <w:rFonts w:ascii="Times New Roman" w:hAnsi="Times New Roman" w:cs="Times New Roman"/>
          <w:b/>
          <w:sz w:val="28"/>
          <w:szCs w:val="28"/>
          <w:u w:val="single"/>
        </w:rPr>
        <w:t xml:space="preserve">General Allocation of Funds </w:t>
      </w:r>
      <w:proofErr w:type="gramStart"/>
      <w:r w:rsidR="000F1A1B" w:rsidRPr="003756CF">
        <w:rPr>
          <w:rFonts w:ascii="Times New Roman" w:hAnsi="Times New Roman" w:cs="Times New Roman"/>
          <w:b/>
          <w:sz w:val="28"/>
          <w:szCs w:val="28"/>
          <w:u w:val="single"/>
        </w:rPr>
        <w:t>Through</w:t>
      </w:r>
      <w:proofErr w:type="gramEnd"/>
      <w:r w:rsidR="000F1A1B" w:rsidRPr="003756CF">
        <w:rPr>
          <w:rFonts w:ascii="Times New Roman" w:hAnsi="Times New Roman" w:cs="Times New Roman"/>
          <w:b/>
          <w:sz w:val="28"/>
          <w:szCs w:val="28"/>
          <w:u w:val="single"/>
        </w:rPr>
        <w:t xml:space="preserve"> June 2019</w:t>
      </w:r>
    </w:p>
    <w:p w:rsidR="003F2460" w:rsidRPr="003756CF" w:rsidRDefault="003F2460" w:rsidP="0049123E">
      <w:pPr>
        <w:spacing w:after="120"/>
        <w:ind w:left="-720"/>
        <w:jc w:val="both"/>
        <w:rPr>
          <w:rFonts w:ascii="Times New Roman" w:hAnsi="Times New Roman" w:cs="Times New Roman"/>
          <w:sz w:val="28"/>
          <w:szCs w:val="28"/>
        </w:rPr>
      </w:pPr>
      <w:r w:rsidRPr="003756CF">
        <w:rPr>
          <w:rFonts w:ascii="Times New Roman" w:hAnsi="Times New Roman" w:cs="Times New Roman"/>
          <w:b/>
          <w:sz w:val="24"/>
          <w:szCs w:val="24"/>
        </w:rPr>
        <w:t>Background:</w:t>
      </w:r>
      <w:r w:rsidRPr="003756CF">
        <w:rPr>
          <w:rFonts w:ascii="Times New Roman" w:hAnsi="Times New Roman" w:cs="Times New Roman"/>
          <w:b/>
          <w:sz w:val="28"/>
          <w:szCs w:val="28"/>
        </w:rPr>
        <w:t xml:space="preserve"> </w:t>
      </w:r>
      <w:r w:rsidRPr="003756CF">
        <w:rPr>
          <w:rFonts w:ascii="Times New Roman" w:hAnsi="Times New Roman" w:cs="Times New Roman"/>
          <w:sz w:val="24"/>
          <w:szCs w:val="24"/>
        </w:rPr>
        <w:t>The Steering Committee’s objective with existing funds was to identify a preferred package of projects.  The Steering Committee was able to loosely define five project packages but determined more information was necessary to achieve the initial objective.  The Washington State Legislature approved an additional $500,000 (July 2017 – June 2019) and directed Department of Ecology (ECY) to work with Confederated Tribes of the Umatilla Indian Reservation (CTUIR) and the Walla Walla Watershed Management Partnership (W3MP) to determine how the funding is utilized.</w:t>
      </w:r>
      <w:r w:rsidRPr="003756CF">
        <w:rPr>
          <w:rFonts w:ascii="Times New Roman" w:hAnsi="Times New Roman" w:cs="Times New Roman"/>
          <w:sz w:val="28"/>
          <w:szCs w:val="28"/>
        </w:rPr>
        <w:t xml:space="preserve">  </w:t>
      </w:r>
    </w:p>
    <w:p w:rsidR="003F2460" w:rsidRPr="003756CF" w:rsidRDefault="003F2460" w:rsidP="0049123E">
      <w:pPr>
        <w:spacing w:after="120"/>
        <w:ind w:left="-720"/>
        <w:jc w:val="both"/>
        <w:rPr>
          <w:rFonts w:ascii="Times New Roman" w:hAnsi="Times New Roman" w:cs="Times New Roman"/>
          <w:sz w:val="24"/>
          <w:szCs w:val="24"/>
        </w:rPr>
      </w:pPr>
      <w:r w:rsidRPr="003756CF">
        <w:rPr>
          <w:rFonts w:ascii="Times New Roman" w:hAnsi="Times New Roman" w:cs="Times New Roman"/>
          <w:sz w:val="24"/>
          <w:szCs w:val="24"/>
        </w:rPr>
        <w:t xml:space="preserve">Consistent with the existing process and framework, Steering Committee input is warranted and a consensus decision is the goal.  With Steering Committee input, additional work will be necessary to refine cost estimates and scopes of work for priority tasks.   The following tasks will be necessary to inform Alternative Package selection (5 down to 1 or 2). Recommend SC task a subcommittee to identify tasks and cost estimates for anchor and add-on projects that are necessary to answer the questions needed to narrow the Alternatives.  </w:t>
      </w:r>
      <w:r w:rsidRPr="003756CF">
        <w:rPr>
          <w:rFonts w:ascii="Times New Roman" w:hAnsi="Times New Roman" w:cs="Times New Roman"/>
          <w:sz w:val="28"/>
          <w:szCs w:val="28"/>
        </w:rPr>
        <w:t xml:space="preserve"> </w:t>
      </w:r>
    </w:p>
    <w:tbl>
      <w:tblPr>
        <w:tblStyle w:val="TableGrid"/>
        <w:tblW w:w="10710" w:type="dxa"/>
        <w:tblInd w:w="-725" w:type="dxa"/>
        <w:tblLayout w:type="fixed"/>
        <w:tblLook w:val="04A0" w:firstRow="1" w:lastRow="0" w:firstColumn="1" w:lastColumn="0" w:noHBand="0" w:noVBand="1"/>
      </w:tblPr>
      <w:tblGrid>
        <w:gridCol w:w="2093"/>
        <w:gridCol w:w="7470"/>
        <w:gridCol w:w="1147"/>
      </w:tblGrid>
      <w:tr w:rsidR="000F1A1B" w:rsidRPr="003756CF" w:rsidTr="00DE2D4A">
        <w:trPr>
          <w:trHeight w:val="278"/>
        </w:trPr>
        <w:tc>
          <w:tcPr>
            <w:tcW w:w="2093" w:type="dxa"/>
            <w:shd w:val="clear" w:color="auto" w:fill="D9D9D9" w:themeFill="background1" w:themeFillShade="D9"/>
          </w:tcPr>
          <w:p w:rsidR="003F2460" w:rsidRPr="003756CF" w:rsidRDefault="003F2460" w:rsidP="003F2460">
            <w:pPr>
              <w:jc w:val="center"/>
              <w:rPr>
                <w:rFonts w:ascii="Times New Roman" w:hAnsi="Times New Roman" w:cs="Times New Roman"/>
                <w:b/>
                <w:sz w:val="28"/>
                <w:szCs w:val="28"/>
              </w:rPr>
            </w:pPr>
            <w:r w:rsidRPr="003756CF">
              <w:rPr>
                <w:rFonts w:ascii="Times New Roman" w:hAnsi="Times New Roman" w:cs="Times New Roman"/>
                <w:b/>
                <w:sz w:val="28"/>
                <w:szCs w:val="28"/>
              </w:rPr>
              <w:t>Task</w:t>
            </w:r>
          </w:p>
        </w:tc>
        <w:tc>
          <w:tcPr>
            <w:tcW w:w="7470" w:type="dxa"/>
            <w:shd w:val="clear" w:color="auto" w:fill="D9D9D9" w:themeFill="background1" w:themeFillShade="D9"/>
          </w:tcPr>
          <w:p w:rsidR="003F2460" w:rsidRPr="003756CF" w:rsidRDefault="003F2460" w:rsidP="003F2460">
            <w:pPr>
              <w:jc w:val="center"/>
              <w:rPr>
                <w:rFonts w:ascii="Times New Roman" w:hAnsi="Times New Roman" w:cs="Times New Roman"/>
                <w:b/>
                <w:sz w:val="28"/>
                <w:szCs w:val="28"/>
              </w:rPr>
            </w:pPr>
            <w:r w:rsidRPr="003756CF">
              <w:rPr>
                <w:rFonts w:ascii="Times New Roman" w:hAnsi="Times New Roman" w:cs="Times New Roman"/>
                <w:b/>
                <w:sz w:val="28"/>
                <w:szCs w:val="28"/>
              </w:rPr>
              <w:t>Description</w:t>
            </w:r>
          </w:p>
        </w:tc>
        <w:tc>
          <w:tcPr>
            <w:tcW w:w="1147" w:type="dxa"/>
            <w:shd w:val="clear" w:color="auto" w:fill="D9D9D9" w:themeFill="background1" w:themeFillShade="D9"/>
          </w:tcPr>
          <w:p w:rsidR="003F2460" w:rsidRPr="003756CF" w:rsidRDefault="003F2460" w:rsidP="003F2460">
            <w:pPr>
              <w:jc w:val="center"/>
              <w:rPr>
                <w:rFonts w:ascii="Times New Roman" w:hAnsi="Times New Roman" w:cs="Times New Roman"/>
                <w:b/>
                <w:sz w:val="28"/>
                <w:szCs w:val="28"/>
              </w:rPr>
            </w:pPr>
            <w:r w:rsidRPr="003756CF">
              <w:rPr>
                <w:rFonts w:ascii="Times New Roman" w:hAnsi="Times New Roman" w:cs="Times New Roman"/>
                <w:b/>
                <w:sz w:val="28"/>
                <w:szCs w:val="28"/>
              </w:rPr>
              <w:t>Budget</w:t>
            </w:r>
          </w:p>
        </w:tc>
      </w:tr>
      <w:tr w:rsidR="0099146B" w:rsidRPr="003756CF" w:rsidTr="00DE2D4A">
        <w:trPr>
          <w:trHeight w:val="305"/>
        </w:trPr>
        <w:tc>
          <w:tcPr>
            <w:tcW w:w="2093" w:type="dxa"/>
          </w:tcPr>
          <w:p w:rsidR="0099146B" w:rsidRPr="003756CF" w:rsidRDefault="0099146B" w:rsidP="003756CF">
            <w:pPr>
              <w:jc w:val="center"/>
              <w:rPr>
                <w:rFonts w:ascii="Times New Roman" w:hAnsi="Times New Roman" w:cs="Times New Roman"/>
                <w:sz w:val="24"/>
                <w:szCs w:val="24"/>
              </w:rPr>
            </w:pPr>
          </w:p>
        </w:tc>
        <w:tc>
          <w:tcPr>
            <w:tcW w:w="7470" w:type="dxa"/>
          </w:tcPr>
          <w:p w:rsidR="0099146B" w:rsidRPr="003756CF" w:rsidRDefault="0099146B" w:rsidP="0099146B">
            <w:pPr>
              <w:jc w:val="center"/>
              <w:rPr>
                <w:rFonts w:ascii="Times New Roman" w:hAnsi="Times New Roman" w:cs="Times New Roman"/>
                <w:sz w:val="24"/>
                <w:szCs w:val="24"/>
              </w:rPr>
            </w:pPr>
            <w:r w:rsidRPr="003756CF">
              <w:rPr>
                <w:rFonts w:ascii="Times New Roman" w:hAnsi="Times New Roman" w:cs="Times New Roman"/>
                <w:b/>
                <w:sz w:val="24"/>
                <w:szCs w:val="24"/>
              </w:rPr>
              <w:t>PROJECT MANAGEMENT</w:t>
            </w:r>
            <w:r>
              <w:rPr>
                <w:rFonts w:ascii="Times New Roman" w:hAnsi="Times New Roman" w:cs="Times New Roman"/>
                <w:b/>
                <w:sz w:val="24"/>
                <w:szCs w:val="24"/>
              </w:rPr>
              <w:t xml:space="preserve"> </w:t>
            </w:r>
          </w:p>
        </w:tc>
        <w:tc>
          <w:tcPr>
            <w:tcW w:w="1147" w:type="dxa"/>
          </w:tcPr>
          <w:p w:rsidR="0099146B" w:rsidRPr="003756CF" w:rsidRDefault="0099146B" w:rsidP="003756CF">
            <w:pPr>
              <w:jc w:val="center"/>
              <w:rPr>
                <w:rFonts w:ascii="Times New Roman" w:hAnsi="Times New Roman" w:cs="Times New Roman"/>
                <w:sz w:val="24"/>
                <w:szCs w:val="24"/>
              </w:rPr>
            </w:pPr>
            <w:r w:rsidRPr="003756CF">
              <w:rPr>
                <w:rFonts w:ascii="Times New Roman" w:hAnsi="Times New Roman" w:cs="Times New Roman"/>
                <w:b/>
                <w:sz w:val="24"/>
                <w:szCs w:val="24"/>
              </w:rPr>
              <w:t>≈$75K</w:t>
            </w:r>
          </w:p>
        </w:tc>
      </w:tr>
      <w:tr w:rsidR="000F1A1B" w:rsidRPr="003756CF" w:rsidTr="00DE2D4A">
        <w:trPr>
          <w:trHeight w:val="260"/>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 xml:space="preserve">Contract Administration </w:t>
            </w:r>
          </w:p>
        </w:tc>
        <w:tc>
          <w:tcPr>
            <w:tcW w:w="7470"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Lead development and management of subcontracts and contractors.</w:t>
            </w:r>
          </w:p>
        </w:tc>
        <w:tc>
          <w:tcPr>
            <w:tcW w:w="1147" w:type="dxa"/>
          </w:tcPr>
          <w:p w:rsidR="003F2460" w:rsidRPr="003756CF" w:rsidRDefault="003F2460" w:rsidP="003F2460">
            <w:pPr>
              <w:rPr>
                <w:rFonts w:ascii="Times New Roman" w:hAnsi="Times New Roman" w:cs="Times New Roman"/>
                <w:sz w:val="24"/>
                <w:szCs w:val="24"/>
              </w:rPr>
            </w:pPr>
          </w:p>
        </w:tc>
      </w:tr>
      <w:tr w:rsidR="000F1A1B" w:rsidRPr="003756CF" w:rsidTr="00DE2D4A">
        <w:trPr>
          <w:trHeight w:val="563"/>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Facilitation and Plan Development</w:t>
            </w:r>
          </w:p>
        </w:tc>
        <w:tc>
          <w:tcPr>
            <w:tcW w:w="7470"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Facilitate SC meetings</w:t>
            </w:r>
            <w:r w:rsidRPr="000379A7">
              <w:rPr>
                <w:rFonts w:ascii="Times New Roman" w:hAnsi="Times New Roman" w:cs="Times New Roman"/>
              </w:rPr>
              <w:t xml:space="preserve">, </w:t>
            </w:r>
            <w:r w:rsidR="00015B44" w:rsidRPr="000379A7">
              <w:rPr>
                <w:rFonts w:ascii="Times New Roman" w:hAnsi="Times New Roman" w:cs="Times New Roman"/>
              </w:rPr>
              <w:t>conduct local and gov./political</w:t>
            </w:r>
            <w:r w:rsidR="00015B44">
              <w:rPr>
                <w:rFonts w:ascii="Times New Roman" w:hAnsi="Times New Roman" w:cs="Times New Roman"/>
              </w:rPr>
              <w:t xml:space="preserve"> </w:t>
            </w:r>
            <w:r w:rsidRPr="003756CF">
              <w:rPr>
                <w:rFonts w:ascii="Times New Roman" w:hAnsi="Times New Roman" w:cs="Times New Roman"/>
              </w:rPr>
              <w:t xml:space="preserve">outreach, and coordinate development of the Walla Walla Basin Integrated Flow Enhancement Plan </w:t>
            </w:r>
            <w:r w:rsidR="00F21030" w:rsidRPr="00F21030">
              <w:rPr>
                <w:rFonts w:ascii="Times New Roman" w:hAnsi="Times New Roman" w:cs="Times New Roman"/>
                <w:color w:val="FF0000"/>
              </w:rPr>
              <w:t>($20k)</w:t>
            </w:r>
          </w:p>
        </w:tc>
        <w:tc>
          <w:tcPr>
            <w:tcW w:w="1147" w:type="dxa"/>
          </w:tcPr>
          <w:p w:rsidR="003F2460" w:rsidRPr="003756CF" w:rsidRDefault="003F2460" w:rsidP="003F2460">
            <w:pPr>
              <w:rPr>
                <w:rFonts w:ascii="Times New Roman" w:hAnsi="Times New Roman" w:cs="Times New Roman"/>
                <w:sz w:val="24"/>
                <w:szCs w:val="24"/>
              </w:rPr>
            </w:pPr>
          </w:p>
        </w:tc>
      </w:tr>
      <w:tr w:rsidR="0099146B" w:rsidRPr="003756CF" w:rsidTr="00DE2D4A">
        <w:trPr>
          <w:trHeight w:val="144"/>
        </w:trPr>
        <w:tc>
          <w:tcPr>
            <w:tcW w:w="2093" w:type="dxa"/>
          </w:tcPr>
          <w:p w:rsidR="0099146B" w:rsidRPr="003756CF" w:rsidRDefault="0099146B" w:rsidP="003756CF">
            <w:pPr>
              <w:jc w:val="center"/>
              <w:rPr>
                <w:rFonts w:ascii="Times New Roman" w:hAnsi="Times New Roman" w:cs="Times New Roman"/>
                <w:sz w:val="24"/>
                <w:szCs w:val="24"/>
              </w:rPr>
            </w:pPr>
          </w:p>
        </w:tc>
        <w:tc>
          <w:tcPr>
            <w:tcW w:w="7470" w:type="dxa"/>
          </w:tcPr>
          <w:p w:rsidR="0099146B" w:rsidRPr="003756CF" w:rsidRDefault="0099146B" w:rsidP="0099146B">
            <w:pPr>
              <w:jc w:val="center"/>
              <w:rPr>
                <w:rFonts w:ascii="Times New Roman" w:hAnsi="Times New Roman" w:cs="Times New Roman"/>
                <w:sz w:val="24"/>
                <w:szCs w:val="24"/>
              </w:rPr>
            </w:pPr>
            <w:r w:rsidRPr="003756CF">
              <w:rPr>
                <w:rFonts w:ascii="Times New Roman" w:hAnsi="Times New Roman" w:cs="Times New Roman"/>
                <w:b/>
                <w:sz w:val="24"/>
                <w:szCs w:val="24"/>
              </w:rPr>
              <w:t xml:space="preserve">CONTINGENCY </w:t>
            </w:r>
          </w:p>
        </w:tc>
        <w:tc>
          <w:tcPr>
            <w:tcW w:w="1147" w:type="dxa"/>
          </w:tcPr>
          <w:p w:rsidR="0099146B" w:rsidRPr="003756CF" w:rsidRDefault="0099146B" w:rsidP="003756CF">
            <w:pPr>
              <w:jc w:val="center"/>
              <w:rPr>
                <w:rFonts w:ascii="Times New Roman" w:hAnsi="Times New Roman" w:cs="Times New Roman"/>
                <w:sz w:val="24"/>
                <w:szCs w:val="24"/>
              </w:rPr>
            </w:pPr>
            <w:r w:rsidRPr="003756CF">
              <w:rPr>
                <w:rFonts w:ascii="Times New Roman" w:hAnsi="Times New Roman" w:cs="Times New Roman"/>
                <w:b/>
                <w:sz w:val="24"/>
                <w:szCs w:val="24"/>
              </w:rPr>
              <w:t>≈$100K</w:t>
            </w:r>
          </w:p>
        </w:tc>
      </w:tr>
      <w:tr w:rsidR="003F2460" w:rsidRPr="003756CF" w:rsidTr="00DE2D4A">
        <w:trPr>
          <w:trHeight w:val="144"/>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TBD</w:t>
            </w:r>
          </w:p>
        </w:tc>
        <w:tc>
          <w:tcPr>
            <w:tcW w:w="7470" w:type="dxa"/>
            <w:shd w:val="clear" w:color="auto" w:fill="auto"/>
          </w:tcPr>
          <w:p w:rsidR="003F2460" w:rsidRPr="003756CF" w:rsidRDefault="005D16E4" w:rsidP="00DE2D4A">
            <w:pPr>
              <w:rPr>
                <w:rFonts w:ascii="Times New Roman" w:hAnsi="Times New Roman" w:cs="Times New Roman"/>
              </w:rPr>
            </w:pPr>
            <w:r w:rsidRPr="000379A7">
              <w:rPr>
                <w:rFonts w:ascii="Times New Roman" w:hAnsi="Times New Roman" w:cs="Times New Roman"/>
              </w:rPr>
              <w:t xml:space="preserve">Contingency funds </w:t>
            </w:r>
            <w:r w:rsidR="00DE2D4A" w:rsidRPr="000379A7">
              <w:rPr>
                <w:rFonts w:ascii="Times New Roman" w:hAnsi="Times New Roman" w:cs="Times New Roman"/>
              </w:rPr>
              <w:t>for</w:t>
            </w:r>
            <w:r w:rsidRPr="000379A7">
              <w:rPr>
                <w:rFonts w:ascii="Times New Roman" w:hAnsi="Times New Roman" w:cs="Times New Roman"/>
              </w:rPr>
              <w:t xml:space="preserve"> tasks such as monitoring or feasibility that may require </w:t>
            </w:r>
            <w:r w:rsidR="00DE2D4A" w:rsidRPr="000379A7">
              <w:rPr>
                <w:rFonts w:ascii="Times New Roman" w:hAnsi="Times New Roman" w:cs="Times New Roman"/>
              </w:rPr>
              <w:t>additional support</w:t>
            </w:r>
            <w:r w:rsidRPr="000379A7">
              <w:rPr>
                <w:rFonts w:ascii="Times New Roman" w:hAnsi="Times New Roman" w:cs="Times New Roman"/>
              </w:rPr>
              <w:t xml:space="preserve"> as SOW &amp;</w:t>
            </w:r>
            <w:r w:rsidR="003F2460" w:rsidRPr="000379A7">
              <w:rPr>
                <w:rFonts w:ascii="Times New Roman" w:hAnsi="Times New Roman" w:cs="Times New Roman"/>
              </w:rPr>
              <w:t xml:space="preserve"> budget</w:t>
            </w:r>
            <w:r w:rsidRPr="000379A7">
              <w:rPr>
                <w:rFonts w:ascii="Times New Roman" w:hAnsi="Times New Roman" w:cs="Times New Roman"/>
              </w:rPr>
              <w:t xml:space="preserve"> become more defined and work co</w:t>
            </w:r>
            <w:r w:rsidR="00DE2D4A" w:rsidRPr="000379A7">
              <w:rPr>
                <w:rFonts w:ascii="Times New Roman" w:hAnsi="Times New Roman" w:cs="Times New Roman"/>
              </w:rPr>
              <w:t>ntinues</w:t>
            </w:r>
            <w:r w:rsidRPr="000379A7">
              <w:rPr>
                <w:rFonts w:ascii="Times New Roman" w:hAnsi="Times New Roman" w:cs="Times New Roman"/>
              </w:rPr>
              <w:t>.</w:t>
            </w:r>
            <w:r>
              <w:rPr>
                <w:rFonts w:ascii="Times New Roman" w:hAnsi="Times New Roman" w:cs="Times New Roman"/>
              </w:rPr>
              <w:t xml:space="preserve"> </w:t>
            </w:r>
          </w:p>
        </w:tc>
        <w:tc>
          <w:tcPr>
            <w:tcW w:w="1147" w:type="dxa"/>
          </w:tcPr>
          <w:p w:rsidR="003F2460" w:rsidRPr="003756CF" w:rsidRDefault="003F2460" w:rsidP="003F2460">
            <w:pPr>
              <w:rPr>
                <w:rFonts w:ascii="Times New Roman" w:hAnsi="Times New Roman" w:cs="Times New Roman"/>
                <w:sz w:val="24"/>
                <w:szCs w:val="24"/>
              </w:rPr>
            </w:pPr>
          </w:p>
        </w:tc>
      </w:tr>
      <w:tr w:rsidR="0099146B" w:rsidRPr="003756CF" w:rsidTr="00DE2D4A">
        <w:trPr>
          <w:trHeight w:val="144"/>
        </w:trPr>
        <w:tc>
          <w:tcPr>
            <w:tcW w:w="2093" w:type="dxa"/>
          </w:tcPr>
          <w:p w:rsidR="0099146B" w:rsidRPr="003756CF" w:rsidRDefault="0099146B" w:rsidP="003756CF">
            <w:pPr>
              <w:jc w:val="center"/>
              <w:rPr>
                <w:rFonts w:ascii="Times New Roman" w:hAnsi="Times New Roman" w:cs="Times New Roman"/>
                <w:sz w:val="24"/>
                <w:szCs w:val="24"/>
              </w:rPr>
            </w:pPr>
          </w:p>
        </w:tc>
        <w:tc>
          <w:tcPr>
            <w:tcW w:w="7470" w:type="dxa"/>
          </w:tcPr>
          <w:p w:rsidR="0099146B" w:rsidRPr="003756CF" w:rsidRDefault="0099146B" w:rsidP="0099146B">
            <w:pPr>
              <w:jc w:val="center"/>
              <w:rPr>
                <w:rFonts w:ascii="Times New Roman" w:hAnsi="Times New Roman" w:cs="Times New Roman"/>
                <w:sz w:val="24"/>
                <w:szCs w:val="24"/>
              </w:rPr>
            </w:pPr>
            <w:r w:rsidRPr="003756CF">
              <w:rPr>
                <w:rFonts w:ascii="Times New Roman" w:hAnsi="Times New Roman" w:cs="Times New Roman"/>
                <w:b/>
                <w:sz w:val="24"/>
                <w:szCs w:val="24"/>
              </w:rPr>
              <w:t xml:space="preserve">FEASIBILITY STUDIES AND DATA GAPS </w:t>
            </w:r>
            <w:r>
              <w:rPr>
                <w:rFonts w:ascii="Times New Roman" w:hAnsi="Times New Roman" w:cs="Times New Roman"/>
                <w:b/>
                <w:sz w:val="24"/>
                <w:szCs w:val="24"/>
              </w:rPr>
              <w:t xml:space="preserve"> </w:t>
            </w:r>
          </w:p>
        </w:tc>
        <w:tc>
          <w:tcPr>
            <w:tcW w:w="1147" w:type="dxa"/>
          </w:tcPr>
          <w:p w:rsidR="0099146B" w:rsidRPr="003756CF" w:rsidRDefault="0099146B" w:rsidP="003756CF">
            <w:pPr>
              <w:jc w:val="center"/>
              <w:rPr>
                <w:rFonts w:ascii="Times New Roman" w:hAnsi="Times New Roman" w:cs="Times New Roman"/>
                <w:sz w:val="24"/>
                <w:szCs w:val="24"/>
              </w:rPr>
            </w:pPr>
            <w:r w:rsidRPr="003756CF">
              <w:rPr>
                <w:rFonts w:ascii="Times New Roman" w:hAnsi="Times New Roman" w:cs="Times New Roman"/>
                <w:b/>
                <w:sz w:val="24"/>
                <w:szCs w:val="24"/>
              </w:rPr>
              <w:t>≈$245K</w:t>
            </w:r>
          </w:p>
        </w:tc>
      </w:tr>
      <w:tr w:rsidR="003F2460" w:rsidRPr="003756CF" w:rsidTr="00DE2D4A">
        <w:trPr>
          <w:trHeight w:val="512"/>
        </w:trPr>
        <w:tc>
          <w:tcPr>
            <w:tcW w:w="2093" w:type="dxa"/>
            <w:shd w:val="clear" w:color="auto" w:fill="auto"/>
          </w:tcPr>
          <w:p w:rsidR="003F2460" w:rsidRPr="003756CF" w:rsidRDefault="003F2460" w:rsidP="00F21030">
            <w:pPr>
              <w:rPr>
                <w:rFonts w:ascii="Times New Roman" w:hAnsi="Times New Roman" w:cs="Times New Roman"/>
              </w:rPr>
            </w:pPr>
            <w:r w:rsidRPr="003756CF">
              <w:rPr>
                <w:rFonts w:ascii="Times New Roman" w:hAnsi="Times New Roman" w:cs="Times New Roman"/>
              </w:rPr>
              <w:t xml:space="preserve">Pine Creek Reservoir </w:t>
            </w:r>
          </w:p>
        </w:tc>
        <w:tc>
          <w:tcPr>
            <w:tcW w:w="7470" w:type="dxa"/>
            <w:shd w:val="clear" w:color="auto" w:fill="auto"/>
            <w:vAlign w:val="center"/>
          </w:tcPr>
          <w:p w:rsidR="003F2460" w:rsidRPr="003756CF" w:rsidRDefault="003F2460" w:rsidP="00102194">
            <w:pPr>
              <w:jc w:val="both"/>
              <w:rPr>
                <w:rFonts w:ascii="Times New Roman" w:hAnsi="Times New Roman" w:cs="Times New Roman"/>
              </w:rPr>
            </w:pPr>
            <w:r w:rsidRPr="003756CF">
              <w:rPr>
                <w:rFonts w:ascii="Times New Roman" w:hAnsi="Times New Roman" w:cs="Times New Roman"/>
              </w:rPr>
              <w:t xml:space="preserve">Subcontract additional investigation </w:t>
            </w:r>
            <w:r w:rsidR="00DE2D4A">
              <w:rPr>
                <w:rFonts w:ascii="Times New Roman" w:hAnsi="Times New Roman" w:cs="Times New Roman"/>
              </w:rPr>
              <w:t xml:space="preserve">such as: </w:t>
            </w:r>
            <w:r w:rsidR="00F21030" w:rsidRPr="000379A7">
              <w:rPr>
                <w:rFonts w:ascii="Times New Roman" w:hAnsi="Times New Roman" w:cs="Times New Roman"/>
              </w:rPr>
              <w:t>water availability from all sources</w:t>
            </w:r>
            <w:r w:rsidR="00F21030">
              <w:rPr>
                <w:rFonts w:ascii="Times New Roman" w:hAnsi="Times New Roman" w:cs="Times New Roman"/>
              </w:rPr>
              <w:t>,</w:t>
            </w:r>
            <w:r w:rsidR="00102194">
              <w:rPr>
                <w:rFonts w:ascii="Times New Roman" w:hAnsi="Times New Roman" w:cs="Times New Roman"/>
              </w:rPr>
              <w:t xml:space="preserve"> storage optimization, review fault lines/seepage,</w:t>
            </w:r>
            <w:r w:rsidR="00F21030">
              <w:rPr>
                <w:rFonts w:ascii="Times New Roman" w:hAnsi="Times New Roman" w:cs="Times New Roman"/>
              </w:rPr>
              <w:t xml:space="preserve"> finalize report </w:t>
            </w:r>
            <w:r w:rsidR="00F21030" w:rsidRPr="00102194">
              <w:rPr>
                <w:rFonts w:ascii="Times New Roman" w:hAnsi="Times New Roman" w:cs="Times New Roman"/>
                <w:color w:val="FF0000"/>
              </w:rPr>
              <w:t>(near term $</w:t>
            </w:r>
            <w:r w:rsidR="00102194">
              <w:rPr>
                <w:rFonts w:ascii="Times New Roman" w:hAnsi="Times New Roman" w:cs="Times New Roman"/>
                <w:color w:val="FF0000"/>
              </w:rPr>
              <w:t>40</w:t>
            </w:r>
            <w:r w:rsidR="00F21030" w:rsidRPr="00102194">
              <w:rPr>
                <w:rFonts w:ascii="Times New Roman" w:hAnsi="Times New Roman" w:cs="Times New Roman"/>
                <w:color w:val="FF0000"/>
              </w:rPr>
              <w:t>k),</w:t>
            </w:r>
            <w:bookmarkStart w:id="0" w:name="_GoBack"/>
            <w:bookmarkEnd w:id="0"/>
            <w:r w:rsidR="00F21030" w:rsidRPr="00102194">
              <w:rPr>
                <w:rFonts w:ascii="Times New Roman" w:hAnsi="Times New Roman" w:cs="Times New Roman"/>
                <w:color w:val="FF0000"/>
              </w:rPr>
              <w:t xml:space="preserve"> </w:t>
            </w:r>
            <w:r w:rsidR="00DE2D4A">
              <w:rPr>
                <w:rFonts w:ascii="Times New Roman" w:hAnsi="Times New Roman" w:cs="Times New Roman"/>
              </w:rPr>
              <w:t xml:space="preserve">subsurface conditions, </w:t>
            </w:r>
            <w:r w:rsidR="00DE2D4A" w:rsidRPr="000379A7">
              <w:rPr>
                <w:rFonts w:ascii="Times New Roman" w:hAnsi="Times New Roman" w:cs="Times New Roman"/>
              </w:rPr>
              <w:t xml:space="preserve">dam </w:t>
            </w:r>
            <w:proofErr w:type="gramStart"/>
            <w:r w:rsidR="00DE2D4A" w:rsidRPr="000379A7">
              <w:rPr>
                <w:rFonts w:ascii="Times New Roman" w:hAnsi="Times New Roman" w:cs="Times New Roman"/>
              </w:rPr>
              <w:t>investigation</w:t>
            </w:r>
            <w:r w:rsidR="00102194">
              <w:rPr>
                <w:rFonts w:ascii="Times New Roman" w:hAnsi="Times New Roman" w:cs="Times New Roman"/>
              </w:rPr>
              <w:t>s</w:t>
            </w:r>
            <w:r w:rsidRPr="000379A7">
              <w:rPr>
                <w:rFonts w:ascii="Times New Roman" w:hAnsi="Times New Roman" w:cs="Times New Roman"/>
              </w:rPr>
              <w:t xml:space="preserve"> ,</w:t>
            </w:r>
            <w:proofErr w:type="gramEnd"/>
            <w:r w:rsidRPr="000379A7">
              <w:rPr>
                <w:rFonts w:ascii="Times New Roman" w:hAnsi="Times New Roman" w:cs="Times New Roman"/>
              </w:rPr>
              <w:t xml:space="preserve"> </w:t>
            </w:r>
            <w:r w:rsidR="00DE2D4A" w:rsidRPr="000379A7">
              <w:rPr>
                <w:rFonts w:ascii="Times New Roman" w:hAnsi="Times New Roman" w:cs="Times New Roman"/>
              </w:rPr>
              <w:t>cultural &amp; en</w:t>
            </w:r>
            <w:r w:rsidR="00015B44" w:rsidRPr="000379A7">
              <w:rPr>
                <w:rFonts w:ascii="Times New Roman" w:hAnsi="Times New Roman" w:cs="Times New Roman"/>
              </w:rPr>
              <w:t>viro</w:t>
            </w:r>
            <w:r w:rsidR="00DE2D4A" w:rsidRPr="000379A7">
              <w:rPr>
                <w:rFonts w:ascii="Times New Roman" w:hAnsi="Times New Roman" w:cs="Times New Roman"/>
              </w:rPr>
              <w:t>. screening,</w:t>
            </w:r>
            <w:r w:rsidRPr="003756CF">
              <w:rPr>
                <w:rFonts w:ascii="Times New Roman" w:hAnsi="Times New Roman" w:cs="Times New Roman"/>
              </w:rPr>
              <w:t xml:space="preserve"> etc. </w:t>
            </w:r>
          </w:p>
        </w:tc>
        <w:tc>
          <w:tcPr>
            <w:tcW w:w="1147" w:type="dxa"/>
          </w:tcPr>
          <w:p w:rsidR="003F2460" w:rsidRPr="003756CF" w:rsidRDefault="003F2460" w:rsidP="003F2460">
            <w:pPr>
              <w:rPr>
                <w:rFonts w:ascii="Times New Roman" w:hAnsi="Times New Roman" w:cs="Times New Roman"/>
                <w:sz w:val="24"/>
                <w:szCs w:val="24"/>
              </w:rPr>
            </w:pPr>
          </w:p>
        </w:tc>
      </w:tr>
      <w:tr w:rsidR="0049123E" w:rsidRPr="003756CF" w:rsidTr="00DE2D4A">
        <w:trPr>
          <w:trHeight w:val="144"/>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 xml:space="preserve">Columbia River Exchange </w:t>
            </w:r>
          </w:p>
        </w:tc>
        <w:tc>
          <w:tcPr>
            <w:tcW w:w="7470" w:type="dxa"/>
            <w:shd w:val="clear" w:color="auto" w:fill="auto"/>
            <w:vAlign w:val="center"/>
          </w:tcPr>
          <w:p w:rsidR="003F2460" w:rsidRPr="003756CF" w:rsidRDefault="003F2460" w:rsidP="003F2460">
            <w:pPr>
              <w:rPr>
                <w:rFonts w:ascii="Times New Roman" w:hAnsi="Times New Roman" w:cs="Times New Roman"/>
              </w:rPr>
            </w:pPr>
            <w:r w:rsidRPr="003756CF">
              <w:rPr>
                <w:rFonts w:ascii="Times New Roman" w:hAnsi="Times New Roman" w:cs="Times New Roman"/>
              </w:rPr>
              <w:t>Subcontract additional investigation such as: key design or operation criteria to improve comparison analysis (e.g. recalculate capital and O&amp;M costs), etc.</w:t>
            </w:r>
          </w:p>
        </w:tc>
        <w:tc>
          <w:tcPr>
            <w:tcW w:w="1147" w:type="dxa"/>
          </w:tcPr>
          <w:p w:rsidR="003F2460" w:rsidRPr="003756CF" w:rsidRDefault="003F2460" w:rsidP="003F2460">
            <w:pPr>
              <w:rPr>
                <w:rFonts w:ascii="Times New Roman" w:hAnsi="Times New Roman" w:cs="Times New Roman"/>
                <w:sz w:val="24"/>
                <w:szCs w:val="24"/>
              </w:rPr>
            </w:pPr>
          </w:p>
        </w:tc>
      </w:tr>
      <w:tr w:rsidR="0049123E" w:rsidRPr="003756CF" w:rsidTr="00DE2D4A">
        <w:trPr>
          <w:trHeight w:val="144"/>
        </w:trPr>
        <w:tc>
          <w:tcPr>
            <w:tcW w:w="2093" w:type="dxa"/>
            <w:shd w:val="clear" w:color="auto" w:fill="auto"/>
          </w:tcPr>
          <w:p w:rsidR="003F2460" w:rsidRPr="003756CF" w:rsidRDefault="0049123E" w:rsidP="0049123E">
            <w:pPr>
              <w:rPr>
                <w:rFonts w:ascii="Times New Roman" w:hAnsi="Times New Roman" w:cs="Times New Roman"/>
              </w:rPr>
            </w:pPr>
            <w:r w:rsidRPr="003756CF">
              <w:rPr>
                <w:rFonts w:ascii="Times New Roman" w:hAnsi="Times New Roman" w:cs="Times New Roman"/>
              </w:rPr>
              <w:t>Project Combination/ Package Analysis</w:t>
            </w:r>
            <w:r w:rsidR="003F2460" w:rsidRPr="003756CF">
              <w:rPr>
                <w:rFonts w:ascii="Times New Roman" w:hAnsi="Times New Roman" w:cs="Times New Roman"/>
              </w:rPr>
              <w:t xml:space="preserve"> </w:t>
            </w:r>
          </w:p>
        </w:tc>
        <w:tc>
          <w:tcPr>
            <w:tcW w:w="7470" w:type="dxa"/>
            <w:shd w:val="clear" w:color="auto" w:fill="auto"/>
            <w:vAlign w:val="center"/>
          </w:tcPr>
          <w:p w:rsidR="003F2460" w:rsidRPr="003756CF" w:rsidRDefault="003F2460" w:rsidP="00E076EB">
            <w:pPr>
              <w:rPr>
                <w:rFonts w:ascii="Times New Roman" w:hAnsi="Times New Roman" w:cs="Times New Roman"/>
              </w:rPr>
            </w:pPr>
            <w:r w:rsidRPr="003756CF">
              <w:rPr>
                <w:rFonts w:ascii="Times New Roman" w:hAnsi="Times New Roman" w:cs="Times New Roman"/>
              </w:rPr>
              <w:t xml:space="preserve">Subcontract additional investigation to understand </w:t>
            </w:r>
            <w:r w:rsidR="0049123E" w:rsidRPr="003756CF">
              <w:rPr>
                <w:rFonts w:ascii="Times New Roman" w:hAnsi="Times New Roman" w:cs="Times New Roman"/>
              </w:rPr>
              <w:t xml:space="preserve">anchor projects plus various add-on project components and </w:t>
            </w:r>
            <w:r w:rsidRPr="003756CF">
              <w:rPr>
                <w:rFonts w:ascii="Times New Roman" w:hAnsi="Times New Roman" w:cs="Times New Roman"/>
              </w:rPr>
              <w:t>potential hybrid of anchor projects including design</w:t>
            </w:r>
            <w:r w:rsidR="00E076EB" w:rsidRPr="003756CF">
              <w:rPr>
                <w:rFonts w:ascii="Times New Roman" w:hAnsi="Times New Roman" w:cs="Times New Roman"/>
              </w:rPr>
              <w:t xml:space="preserve">, </w:t>
            </w:r>
            <w:r w:rsidRPr="003756CF">
              <w:rPr>
                <w:rFonts w:ascii="Times New Roman" w:hAnsi="Times New Roman" w:cs="Times New Roman"/>
              </w:rPr>
              <w:t>operation criteria</w:t>
            </w:r>
            <w:r w:rsidR="00E076EB" w:rsidRPr="003756CF">
              <w:rPr>
                <w:rFonts w:ascii="Times New Roman" w:hAnsi="Times New Roman" w:cs="Times New Roman"/>
              </w:rPr>
              <w:t>,</w:t>
            </w:r>
            <w:r w:rsidRPr="003756CF">
              <w:rPr>
                <w:rFonts w:ascii="Times New Roman" w:hAnsi="Times New Roman" w:cs="Times New Roman"/>
              </w:rPr>
              <w:t xml:space="preserve"> </w:t>
            </w:r>
            <w:r w:rsidR="000F1A1B" w:rsidRPr="003756CF">
              <w:rPr>
                <w:rFonts w:ascii="Times New Roman" w:hAnsi="Times New Roman" w:cs="Times New Roman"/>
              </w:rPr>
              <w:t xml:space="preserve">package efficiencies, </w:t>
            </w:r>
            <w:r w:rsidR="00E076EB" w:rsidRPr="003756CF">
              <w:rPr>
                <w:rFonts w:ascii="Times New Roman" w:hAnsi="Times New Roman" w:cs="Times New Roman"/>
              </w:rPr>
              <w:t>capital and O&amp;M costs, etc.</w:t>
            </w:r>
            <w:r w:rsidRPr="003756CF">
              <w:rPr>
                <w:rFonts w:ascii="Times New Roman" w:hAnsi="Times New Roman" w:cs="Times New Roman"/>
              </w:rPr>
              <w:t xml:space="preserve">  </w:t>
            </w:r>
          </w:p>
        </w:tc>
        <w:tc>
          <w:tcPr>
            <w:tcW w:w="1147" w:type="dxa"/>
          </w:tcPr>
          <w:p w:rsidR="003F2460" w:rsidRPr="003756CF" w:rsidRDefault="003F2460" w:rsidP="003F2460">
            <w:pPr>
              <w:rPr>
                <w:rFonts w:ascii="Times New Roman" w:hAnsi="Times New Roman" w:cs="Times New Roman"/>
                <w:sz w:val="24"/>
                <w:szCs w:val="24"/>
              </w:rPr>
            </w:pPr>
          </w:p>
        </w:tc>
      </w:tr>
      <w:tr w:rsidR="000F1A1B" w:rsidRPr="003756CF" w:rsidTr="00DE2D4A">
        <w:trPr>
          <w:trHeight w:val="144"/>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Data Gaps</w:t>
            </w:r>
          </w:p>
        </w:tc>
        <w:tc>
          <w:tcPr>
            <w:tcW w:w="7470" w:type="dxa"/>
            <w:shd w:val="clear" w:color="auto" w:fill="auto"/>
          </w:tcPr>
          <w:p w:rsidR="003F2460" w:rsidRPr="003756CF" w:rsidRDefault="00E076EB" w:rsidP="00E076EB">
            <w:pPr>
              <w:rPr>
                <w:rFonts w:ascii="Times New Roman" w:hAnsi="Times New Roman" w:cs="Times New Roman"/>
              </w:rPr>
            </w:pPr>
            <w:r w:rsidRPr="003756CF">
              <w:rPr>
                <w:rFonts w:ascii="Times New Roman" w:hAnsi="Times New Roman" w:cs="Times New Roman"/>
              </w:rPr>
              <w:t xml:space="preserve">Conduct </w:t>
            </w:r>
            <w:r w:rsidR="00015B44" w:rsidRPr="000379A7">
              <w:rPr>
                <w:rFonts w:ascii="Times New Roman" w:hAnsi="Times New Roman" w:cs="Times New Roman"/>
              </w:rPr>
              <w:t xml:space="preserve">surface/groundwater </w:t>
            </w:r>
            <w:r w:rsidRPr="000379A7">
              <w:rPr>
                <w:rFonts w:ascii="Times New Roman" w:hAnsi="Times New Roman" w:cs="Times New Roman"/>
              </w:rPr>
              <w:t>m</w:t>
            </w:r>
            <w:r w:rsidR="003F2460" w:rsidRPr="000379A7">
              <w:rPr>
                <w:rFonts w:ascii="Times New Roman" w:hAnsi="Times New Roman" w:cs="Times New Roman"/>
              </w:rPr>
              <w:t xml:space="preserve">onitoring, </w:t>
            </w:r>
            <w:r w:rsidR="00015B44" w:rsidRPr="000379A7">
              <w:rPr>
                <w:rFonts w:ascii="Times New Roman" w:hAnsi="Times New Roman" w:cs="Times New Roman"/>
              </w:rPr>
              <w:t>modeling</w:t>
            </w:r>
            <w:r w:rsidR="00015B44">
              <w:rPr>
                <w:rFonts w:ascii="Times New Roman" w:hAnsi="Times New Roman" w:cs="Times New Roman"/>
              </w:rPr>
              <w:t xml:space="preserve">, </w:t>
            </w:r>
            <w:r w:rsidR="003F2460" w:rsidRPr="003756CF">
              <w:rPr>
                <w:rFonts w:ascii="Times New Roman" w:hAnsi="Times New Roman" w:cs="Times New Roman"/>
              </w:rPr>
              <w:t xml:space="preserve">evaluation, data collection/analysis </w:t>
            </w:r>
            <w:r w:rsidR="00015B44">
              <w:rPr>
                <w:rFonts w:ascii="Times New Roman" w:hAnsi="Times New Roman" w:cs="Times New Roman"/>
              </w:rPr>
              <w:t xml:space="preserve">as </w:t>
            </w:r>
            <w:r w:rsidR="003F2460" w:rsidRPr="003756CF">
              <w:rPr>
                <w:rFonts w:ascii="Times New Roman" w:hAnsi="Times New Roman" w:cs="Times New Roman"/>
              </w:rPr>
              <w:t>necessary to inform feasibility analysis</w:t>
            </w:r>
            <w:r w:rsidR="005E7B5D" w:rsidRPr="003756CF">
              <w:rPr>
                <w:rFonts w:ascii="Times New Roman" w:hAnsi="Times New Roman" w:cs="Times New Roman"/>
              </w:rPr>
              <w:t xml:space="preserve"> tasks above</w:t>
            </w:r>
            <w:r w:rsidRPr="003756CF">
              <w:rPr>
                <w:rFonts w:ascii="Times New Roman" w:hAnsi="Times New Roman" w:cs="Times New Roman"/>
              </w:rPr>
              <w:t>.</w:t>
            </w:r>
          </w:p>
        </w:tc>
        <w:tc>
          <w:tcPr>
            <w:tcW w:w="1147" w:type="dxa"/>
          </w:tcPr>
          <w:p w:rsidR="003F2460" w:rsidRPr="003756CF" w:rsidRDefault="003F2460" w:rsidP="003F2460">
            <w:pPr>
              <w:rPr>
                <w:rFonts w:ascii="Times New Roman" w:hAnsi="Times New Roman" w:cs="Times New Roman"/>
                <w:sz w:val="24"/>
                <w:szCs w:val="24"/>
              </w:rPr>
            </w:pPr>
          </w:p>
        </w:tc>
      </w:tr>
      <w:tr w:rsidR="0099146B" w:rsidRPr="003756CF" w:rsidTr="00DE2D4A">
        <w:trPr>
          <w:trHeight w:val="144"/>
        </w:trPr>
        <w:tc>
          <w:tcPr>
            <w:tcW w:w="2093" w:type="dxa"/>
            <w:shd w:val="clear" w:color="auto" w:fill="auto"/>
          </w:tcPr>
          <w:p w:rsidR="0099146B" w:rsidRPr="003756CF" w:rsidRDefault="0099146B" w:rsidP="003756CF">
            <w:pPr>
              <w:jc w:val="center"/>
              <w:rPr>
                <w:rFonts w:ascii="Times New Roman" w:hAnsi="Times New Roman" w:cs="Times New Roman"/>
                <w:sz w:val="24"/>
                <w:szCs w:val="24"/>
              </w:rPr>
            </w:pPr>
          </w:p>
        </w:tc>
        <w:tc>
          <w:tcPr>
            <w:tcW w:w="7470" w:type="dxa"/>
            <w:shd w:val="clear" w:color="auto" w:fill="auto"/>
          </w:tcPr>
          <w:p w:rsidR="0099146B" w:rsidRPr="003756CF" w:rsidRDefault="0099146B" w:rsidP="003756CF">
            <w:pPr>
              <w:jc w:val="center"/>
              <w:rPr>
                <w:rFonts w:ascii="Times New Roman" w:hAnsi="Times New Roman" w:cs="Times New Roman"/>
                <w:sz w:val="24"/>
                <w:szCs w:val="24"/>
              </w:rPr>
            </w:pPr>
            <w:r>
              <w:rPr>
                <w:rFonts w:ascii="Times New Roman" w:hAnsi="Times New Roman" w:cs="Times New Roman"/>
                <w:b/>
                <w:sz w:val="24"/>
                <w:szCs w:val="24"/>
              </w:rPr>
              <w:t>ENVIRONMENTAL REVIEW</w:t>
            </w:r>
          </w:p>
        </w:tc>
        <w:tc>
          <w:tcPr>
            <w:tcW w:w="1147" w:type="dxa"/>
            <w:shd w:val="clear" w:color="auto" w:fill="auto"/>
          </w:tcPr>
          <w:p w:rsidR="0099146B" w:rsidRPr="003756CF" w:rsidRDefault="0099146B" w:rsidP="003756CF">
            <w:pPr>
              <w:jc w:val="center"/>
              <w:rPr>
                <w:rFonts w:ascii="Times New Roman" w:hAnsi="Times New Roman" w:cs="Times New Roman"/>
                <w:sz w:val="24"/>
                <w:szCs w:val="24"/>
              </w:rPr>
            </w:pPr>
            <w:r w:rsidRPr="003756CF">
              <w:rPr>
                <w:rFonts w:ascii="Times New Roman" w:hAnsi="Times New Roman" w:cs="Times New Roman"/>
                <w:b/>
                <w:sz w:val="24"/>
                <w:szCs w:val="24"/>
              </w:rPr>
              <w:t>≈$80K</w:t>
            </w:r>
          </w:p>
        </w:tc>
      </w:tr>
      <w:tr w:rsidR="000F1A1B" w:rsidRPr="003756CF" w:rsidTr="00DE2D4A">
        <w:trPr>
          <w:trHeight w:val="144"/>
        </w:trPr>
        <w:tc>
          <w:tcPr>
            <w:tcW w:w="2093"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Environmental Scoping</w:t>
            </w:r>
          </w:p>
        </w:tc>
        <w:tc>
          <w:tcPr>
            <w:tcW w:w="7470" w:type="dxa"/>
            <w:shd w:val="clear" w:color="auto" w:fill="auto"/>
          </w:tcPr>
          <w:p w:rsidR="003F2460" w:rsidRPr="003756CF" w:rsidRDefault="003F2460" w:rsidP="003F2460">
            <w:pPr>
              <w:rPr>
                <w:rFonts w:ascii="Times New Roman" w:hAnsi="Times New Roman" w:cs="Times New Roman"/>
              </w:rPr>
            </w:pPr>
            <w:r w:rsidRPr="003756CF">
              <w:rPr>
                <w:rFonts w:ascii="Times New Roman" w:hAnsi="Times New Roman" w:cs="Times New Roman"/>
              </w:rPr>
              <w:t>SEPA scoping will accomplish the following tasks:</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Begin the process of scoping environmental review for the alternatives</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Begin formal outreach to affected agencies with permit responsibilities under WA State Law</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Begin a formal discussion with federal partners on a NEPA strategy</w:t>
            </w:r>
          </w:p>
          <w:p w:rsidR="003F2460" w:rsidRPr="003756CF" w:rsidRDefault="0049123E"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Prepare a MOA for d</w:t>
            </w:r>
            <w:r w:rsidR="003F2460" w:rsidRPr="003756CF">
              <w:rPr>
                <w:rFonts w:ascii="Times New Roman" w:eastAsia="Times New Roman" w:hAnsi="Times New Roman" w:cs="Times New Roman"/>
              </w:rPr>
              <w:t xml:space="preserve">oing SEPA co-leadership with Ecology and </w:t>
            </w:r>
            <w:r w:rsidRPr="003756CF">
              <w:rPr>
                <w:rFonts w:ascii="Times New Roman" w:eastAsia="Times New Roman" w:hAnsi="Times New Roman" w:cs="Times New Roman"/>
              </w:rPr>
              <w:t>W3MP</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Prepare a Determination of Significance</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Broaden outreach to new stakeholders not formally engaged in the Walla Walla Flow Study</w:t>
            </w:r>
          </w:p>
          <w:p w:rsidR="003F2460" w:rsidRPr="003756CF" w:rsidRDefault="005E7B5D"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Solicit input on the a</w:t>
            </w:r>
            <w:r w:rsidR="003F2460" w:rsidRPr="003756CF">
              <w:rPr>
                <w:rFonts w:ascii="Times New Roman" w:eastAsia="Times New Roman" w:hAnsi="Times New Roman" w:cs="Times New Roman"/>
              </w:rPr>
              <w:t>lternatives developed to-date and stakeholder opinions on them</w:t>
            </w:r>
          </w:p>
          <w:p w:rsidR="003F2460" w:rsidRPr="003756CF" w:rsidRDefault="003F2460" w:rsidP="003F2460">
            <w:pPr>
              <w:pStyle w:val="ListParagraph"/>
              <w:numPr>
                <w:ilvl w:val="0"/>
                <w:numId w:val="2"/>
              </w:numPr>
              <w:rPr>
                <w:rFonts w:ascii="Times New Roman" w:eastAsia="Times New Roman" w:hAnsi="Times New Roman" w:cs="Times New Roman"/>
              </w:rPr>
            </w:pPr>
            <w:r w:rsidRPr="003756CF">
              <w:rPr>
                <w:rFonts w:ascii="Times New Roman" w:eastAsia="Times New Roman" w:hAnsi="Times New Roman" w:cs="Times New Roman"/>
              </w:rPr>
              <w:t>Solicit input on data gaps to meaningfully evaluate environmental impact of alternatives</w:t>
            </w:r>
          </w:p>
          <w:p w:rsidR="003F2460" w:rsidRPr="003756CF" w:rsidRDefault="005E7B5D" w:rsidP="005E7B5D">
            <w:pPr>
              <w:pStyle w:val="ListParagraph"/>
              <w:numPr>
                <w:ilvl w:val="0"/>
                <w:numId w:val="2"/>
              </w:numPr>
              <w:rPr>
                <w:rFonts w:ascii="Times New Roman" w:hAnsi="Times New Roman" w:cs="Times New Roman"/>
                <w:i/>
              </w:rPr>
            </w:pPr>
            <w:r w:rsidRPr="003756CF">
              <w:rPr>
                <w:rFonts w:ascii="Times New Roman" w:eastAsia="Times New Roman" w:hAnsi="Times New Roman" w:cs="Times New Roman"/>
              </w:rPr>
              <w:t xml:space="preserve">Develop </w:t>
            </w:r>
            <w:r w:rsidR="003F2460" w:rsidRPr="003756CF">
              <w:rPr>
                <w:rFonts w:ascii="Times New Roman" w:eastAsia="Times New Roman" w:hAnsi="Times New Roman" w:cs="Times New Roman"/>
              </w:rPr>
              <w:t xml:space="preserve">scope and budget for further environmental review </w:t>
            </w:r>
            <w:r w:rsidRPr="003756CF">
              <w:rPr>
                <w:rFonts w:ascii="Times New Roman" w:eastAsia="Times New Roman" w:hAnsi="Times New Roman" w:cs="Times New Roman"/>
              </w:rPr>
              <w:t>(NEPA &amp;</w:t>
            </w:r>
            <w:r w:rsidR="003F2460" w:rsidRPr="003756CF">
              <w:rPr>
                <w:rFonts w:ascii="Times New Roman" w:eastAsia="Times New Roman" w:hAnsi="Times New Roman" w:cs="Times New Roman"/>
              </w:rPr>
              <w:t xml:space="preserve"> SEPA)</w:t>
            </w:r>
          </w:p>
        </w:tc>
        <w:tc>
          <w:tcPr>
            <w:tcW w:w="1147" w:type="dxa"/>
          </w:tcPr>
          <w:p w:rsidR="003F2460" w:rsidRPr="003756CF" w:rsidRDefault="003F2460" w:rsidP="003F2460">
            <w:pPr>
              <w:rPr>
                <w:rFonts w:ascii="Times New Roman" w:hAnsi="Times New Roman" w:cs="Times New Roman"/>
                <w:sz w:val="24"/>
                <w:szCs w:val="24"/>
              </w:rPr>
            </w:pPr>
          </w:p>
        </w:tc>
      </w:tr>
      <w:tr w:rsidR="0049123E" w:rsidTr="003756CF">
        <w:trPr>
          <w:gridBefore w:val="2"/>
          <w:wBefore w:w="9563" w:type="dxa"/>
          <w:trHeight w:val="144"/>
        </w:trPr>
        <w:tc>
          <w:tcPr>
            <w:tcW w:w="1147" w:type="dxa"/>
            <w:shd w:val="clear" w:color="auto" w:fill="auto"/>
          </w:tcPr>
          <w:p w:rsidR="0049123E" w:rsidRPr="003756CF" w:rsidRDefault="005E7B5D" w:rsidP="000F1A1B">
            <w:pPr>
              <w:rPr>
                <w:rFonts w:ascii="Times New Roman" w:hAnsi="Times New Roman" w:cs="Times New Roman"/>
                <w:sz w:val="24"/>
                <w:szCs w:val="24"/>
              </w:rPr>
            </w:pPr>
            <w:r w:rsidRPr="003756CF">
              <w:rPr>
                <w:rFonts w:ascii="Times New Roman" w:hAnsi="Times New Roman" w:cs="Times New Roman"/>
                <w:b/>
                <w:sz w:val="24"/>
                <w:szCs w:val="24"/>
              </w:rPr>
              <w:t>$500</w:t>
            </w:r>
            <w:r w:rsidR="000F1A1B" w:rsidRPr="003756CF">
              <w:rPr>
                <w:rFonts w:ascii="Times New Roman" w:hAnsi="Times New Roman" w:cs="Times New Roman"/>
                <w:b/>
                <w:sz w:val="24"/>
                <w:szCs w:val="24"/>
              </w:rPr>
              <w:t>K</w:t>
            </w:r>
          </w:p>
        </w:tc>
      </w:tr>
    </w:tbl>
    <w:p w:rsidR="009873AA" w:rsidRPr="003F2460" w:rsidRDefault="009873AA" w:rsidP="003756CF"/>
    <w:sectPr w:rsidR="009873AA" w:rsidRPr="003F2460" w:rsidSect="000F1A1B">
      <w:pgSz w:w="12240" w:h="15840"/>
      <w:pgMar w:top="990"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1E12"/>
    <w:multiLevelType w:val="hybridMultilevel"/>
    <w:tmpl w:val="DA70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46415"/>
    <w:multiLevelType w:val="hybridMultilevel"/>
    <w:tmpl w:val="6D84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60"/>
    <w:rsid w:val="00015B44"/>
    <w:rsid w:val="000379A7"/>
    <w:rsid w:val="000F1A1B"/>
    <w:rsid w:val="00102194"/>
    <w:rsid w:val="003756CF"/>
    <w:rsid w:val="003A71BE"/>
    <w:rsid w:val="003F2460"/>
    <w:rsid w:val="004232AD"/>
    <w:rsid w:val="0049123E"/>
    <w:rsid w:val="005D16E4"/>
    <w:rsid w:val="005E7B5D"/>
    <w:rsid w:val="009873AA"/>
    <w:rsid w:val="0099146B"/>
    <w:rsid w:val="00DE2D4A"/>
    <w:rsid w:val="00E076EB"/>
    <w:rsid w:val="00F2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F7D2-A95F-4A35-86D9-45735B43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460"/>
    <w:pPr>
      <w:ind w:left="720"/>
      <w:contextualSpacing/>
    </w:pPr>
  </w:style>
  <w:style w:type="paragraph" w:styleId="BalloonText">
    <w:name w:val="Balloon Text"/>
    <w:basedOn w:val="Normal"/>
    <w:link w:val="BalloonTextChar"/>
    <w:uiPriority w:val="99"/>
    <w:semiHidden/>
    <w:unhideWhenUsed/>
    <w:rsid w:val="00E0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CTUIR</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James</dc:creator>
  <cp:lastModifiedBy>Brian</cp:lastModifiedBy>
  <cp:revision>3</cp:revision>
  <cp:lastPrinted>2017-09-29T22:24:00Z</cp:lastPrinted>
  <dcterms:created xsi:type="dcterms:W3CDTF">2017-10-05T22:03:00Z</dcterms:created>
  <dcterms:modified xsi:type="dcterms:W3CDTF">2017-10-05T22:17:00Z</dcterms:modified>
</cp:coreProperties>
</file>