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6DC" w:rsidRPr="00A436DC" w:rsidRDefault="00E11E6E" w:rsidP="0075118E">
      <w:pPr>
        <w:rPr>
          <w:highlight w:val="yellow"/>
        </w:rPr>
      </w:pPr>
      <w:bookmarkStart w:id="0" w:name="_GoBack"/>
      <w:bookmarkEnd w:id="0"/>
      <w:r w:rsidRPr="00E11E6E">
        <w:rPr>
          <w:noProof/>
        </w:rPr>
        <w:drawing>
          <wp:anchor distT="36576" distB="36576" distL="36576" distR="36576" simplePos="0" relativeHeight="251660288" behindDoc="0" locked="0" layoutInCell="1" allowOverlap="1" wp14:anchorId="6D942F5A" wp14:editId="68E98A6D">
            <wp:simplePos x="0" y="0"/>
            <wp:positionH relativeFrom="margin">
              <wp:align>right</wp:align>
            </wp:positionH>
            <wp:positionV relativeFrom="paragraph">
              <wp:posOffset>1270</wp:posOffset>
            </wp:positionV>
            <wp:extent cx="2493918" cy="775885"/>
            <wp:effectExtent l="0" t="0" r="1905" b="5715"/>
            <wp:wrapNone/>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493918" cy="775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436DC" w:rsidRPr="00A436DC">
        <w:rPr>
          <w:highlight w:val="yellow"/>
        </w:rPr>
        <w:t>DATE</w:t>
      </w:r>
    </w:p>
    <w:p w:rsidR="00A436DC" w:rsidRPr="00A436DC" w:rsidRDefault="00A436DC" w:rsidP="00A436DC">
      <w:pPr>
        <w:spacing w:after="0"/>
        <w:rPr>
          <w:highlight w:val="yellow"/>
        </w:rPr>
      </w:pPr>
      <w:r w:rsidRPr="00A436DC">
        <w:rPr>
          <w:highlight w:val="yellow"/>
        </w:rPr>
        <w:t>NAME</w:t>
      </w:r>
    </w:p>
    <w:p w:rsidR="00A436DC" w:rsidRPr="00A436DC" w:rsidRDefault="00A436DC" w:rsidP="00A436DC">
      <w:pPr>
        <w:spacing w:after="0"/>
        <w:rPr>
          <w:highlight w:val="yellow"/>
        </w:rPr>
      </w:pPr>
      <w:r w:rsidRPr="00A436DC">
        <w:rPr>
          <w:highlight w:val="yellow"/>
        </w:rPr>
        <w:t>ADDRESS</w:t>
      </w:r>
    </w:p>
    <w:p w:rsidR="00A436DC" w:rsidRDefault="00E11E6E" w:rsidP="00A436DC">
      <w:pPr>
        <w:spacing w:after="0"/>
      </w:pPr>
      <w:r w:rsidRPr="00E11E6E">
        <w:rPr>
          <w:noProof/>
        </w:rPr>
        <mc:AlternateContent>
          <mc:Choice Requires="wps">
            <w:drawing>
              <wp:anchor distT="36576" distB="36576" distL="36576" distR="36576" simplePos="0" relativeHeight="251661312" behindDoc="0" locked="0" layoutInCell="1" allowOverlap="1" wp14:anchorId="7BF927B5" wp14:editId="207553CD">
                <wp:simplePos x="0" y="0"/>
                <wp:positionH relativeFrom="margin">
                  <wp:posOffset>3345180</wp:posOffset>
                </wp:positionH>
                <wp:positionV relativeFrom="paragraph">
                  <wp:posOffset>4445</wp:posOffset>
                </wp:positionV>
                <wp:extent cx="2819400" cy="5791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11E6E" w:rsidRPr="00E11E6E" w:rsidRDefault="00E11E6E" w:rsidP="00E11E6E">
                            <w:pPr>
                              <w:widowControl w:val="0"/>
                              <w:spacing w:after="0" w:line="223" w:lineRule="auto"/>
                              <w:jc w:val="center"/>
                              <w:rPr>
                                <w:rFonts w:ascii="Arial" w:hAnsi="Arial" w:cs="Arial"/>
                                <w:color w:val="7F7F7F"/>
                                <w:sz w:val="28"/>
                                <w:szCs w:val="28"/>
                              </w:rPr>
                            </w:pPr>
                            <w:r w:rsidRPr="00E11E6E">
                              <w:rPr>
                                <w:rFonts w:ascii="Arial" w:hAnsi="Arial" w:cs="Arial"/>
                                <w:color w:val="7F7F7F"/>
                                <w:sz w:val="28"/>
                                <w:szCs w:val="28"/>
                              </w:rPr>
                              <w:t xml:space="preserve">Walla Walla Watershed </w:t>
                            </w:r>
                          </w:p>
                          <w:p w:rsidR="00E11E6E" w:rsidRPr="00E11E6E" w:rsidRDefault="00E11E6E" w:rsidP="00E11E6E">
                            <w:pPr>
                              <w:widowControl w:val="0"/>
                              <w:spacing w:after="0" w:line="223" w:lineRule="auto"/>
                              <w:jc w:val="center"/>
                              <w:rPr>
                                <w:rFonts w:ascii="Arial" w:hAnsi="Arial" w:cs="Arial"/>
                                <w:color w:val="7F7F7F"/>
                                <w:sz w:val="28"/>
                                <w:szCs w:val="28"/>
                              </w:rPr>
                            </w:pPr>
                            <w:r w:rsidRPr="00E11E6E">
                              <w:rPr>
                                <w:rFonts w:ascii="Arial" w:hAnsi="Arial" w:cs="Arial"/>
                                <w:color w:val="7F7F7F"/>
                                <w:sz w:val="28"/>
                                <w:szCs w:val="28"/>
                              </w:rPr>
                              <w:t>Management Partnership</w:t>
                            </w:r>
                          </w:p>
                          <w:p w:rsidR="00E11E6E" w:rsidRPr="00E11E6E" w:rsidRDefault="00E11E6E" w:rsidP="00E11E6E">
                            <w:pPr>
                              <w:widowControl w:val="0"/>
                              <w:spacing w:after="0" w:line="223" w:lineRule="auto"/>
                              <w:rPr>
                                <w:rFonts w:ascii="Arial" w:hAnsi="Arial" w:cs="Arial"/>
                                <w:color w:val="7F7F7F"/>
                                <w:sz w:val="28"/>
                                <w:szCs w:val="28"/>
                              </w:rPr>
                            </w:pPr>
                            <w:r w:rsidRPr="00E11E6E">
                              <w:rPr>
                                <w:rFonts w:ascii="Arial" w:hAnsi="Arial" w:cs="Arial"/>
                                <w:color w:val="7F7F7F"/>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927B5" id="_x0000_t202" coordsize="21600,21600" o:spt="202" path="m,l,21600r21600,l21600,xe">
                <v:stroke joinstyle="miter"/>
                <v:path gradientshapeok="t" o:connecttype="rect"/>
              </v:shapetype>
              <v:shape id="Text Box 8" o:spid="_x0000_s1026" type="#_x0000_t202" style="position:absolute;margin-left:263.4pt;margin-top:.35pt;width:222pt;height:45.6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" filled="f" stroked="f" strokecolor="black [0]" insetpen="t">
                <v:textbox inset="2.88pt,2.88pt,2.88pt,2.88pt">
                  <w:txbxContent>
                    <w:p w:rsidR="00E11E6E" w:rsidRPr="00E11E6E" w:rsidRDefault="00E11E6E" w:rsidP="00E11E6E">
                      <w:pPr>
                        <w:widowControl w:val="0"/>
                        <w:spacing w:after="0" w:line="223" w:lineRule="auto"/>
                        <w:jc w:val="center"/>
                        <w:rPr>
                          <w:rFonts w:ascii="Arial" w:hAnsi="Arial" w:cs="Arial"/>
                          <w:color w:val="7F7F7F"/>
                          <w:sz w:val="28"/>
                          <w:szCs w:val="28"/>
                        </w:rPr>
                      </w:pPr>
                      <w:r w:rsidRPr="00E11E6E">
                        <w:rPr>
                          <w:rFonts w:ascii="Arial" w:hAnsi="Arial" w:cs="Arial"/>
                          <w:color w:val="7F7F7F"/>
                          <w:sz w:val="28"/>
                          <w:szCs w:val="28"/>
                        </w:rPr>
                        <w:t xml:space="preserve">Walla Walla Watershed </w:t>
                      </w:r>
                    </w:p>
                    <w:p w:rsidR="00E11E6E" w:rsidRPr="00E11E6E" w:rsidRDefault="00E11E6E" w:rsidP="00E11E6E">
                      <w:pPr>
                        <w:widowControl w:val="0"/>
                        <w:spacing w:after="0" w:line="223" w:lineRule="auto"/>
                        <w:jc w:val="center"/>
                        <w:rPr>
                          <w:rFonts w:ascii="Arial" w:hAnsi="Arial" w:cs="Arial"/>
                          <w:color w:val="7F7F7F"/>
                          <w:sz w:val="28"/>
                          <w:szCs w:val="28"/>
                        </w:rPr>
                      </w:pPr>
                      <w:r w:rsidRPr="00E11E6E">
                        <w:rPr>
                          <w:rFonts w:ascii="Arial" w:hAnsi="Arial" w:cs="Arial"/>
                          <w:color w:val="7F7F7F"/>
                          <w:sz w:val="28"/>
                          <w:szCs w:val="28"/>
                        </w:rPr>
                        <w:t>Management Partnership</w:t>
                      </w:r>
                    </w:p>
                    <w:p w:rsidR="00E11E6E" w:rsidRPr="00E11E6E" w:rsidRDefault="00E11E6E" w:rsidP="00E11E6E">
                      <w:pPr>
                        <w:widowControl w:val="0"/>
                        <w:spacing w:after="0" w:line="223" w:lineRule="auto"/>
                        <w:rPr>
                          <w:rFonts w:ascii="Arial" w:hAnsi="Arial" w:cs="Arial"/>
                          <w:color w:val="7F7F7F"/>
                          <w:sz w:val="28"/>
                          <w:szCs w:val="28"/>
                        </w:rPr>
                      </w:pPr>
                      <w:r w:rsidRPr="00E11E6E">
                        <w:rPr>
                          <w:rFonts w:ascii="Arial" w:hAnsi="Arial" w:cs="Arial"/>
                          <w:color w:val="7F7F7F"/>
                          <w:sz w:val="28"/>
                          <w:szCs w:val="28"/>
                        </w:rPr>
                        <w:t> </w:t>
                      </w:r>
                    </w:p>
                  </w:txbxContent>
                </v:textbox>
                <w10:wrap anchorx="margin"/>
              </v:shape>
            </w:pict>
          </mc:Fallback>
        </mc:AlternateContent>
      </w:r>
      <w:r w:rsidR="00A436DC" w:rsidRPr="00A436DC">
        <w:rPr>
          <w:highlight w:val="yellow"/>
        </w:rPr>
        <w:t>ADDRESS</w:t>
      </w:r>
    </w:p>
    <w:p w:rsidR="00A436DC" w:rsidRDefault="00A436DC" w:rsidP="0075118E"/>
    <w:p w:rsidR="00BC7ECA" w:rsidRDefault="00BC7ECA" w:rsidP="00065DD4">
      <w:pPr>
        <w:spacing w:after="0"/>
      </w:pPr>
      <w:r>
        <w:t xml:space="preserve">Dear </w:t>
      </w:r>
      <w:r w:rsidR="00065DD4" w:rsidRPr="00A436DC">
        <w:rPr>
          <w:highlight w:val="yellow"/>
        </w:rPr>
        <w:t>NAME</w:t>
      </w:r>
      <w:r w:rsidR="00D5448E">
        <w:t>,</w:t>
      </w:r>
    </w:p>
    <w:p w:rsidR="00065DD4" w:rsidRDefault="00065DD4" w:rsidP="0075118E"/>
    <w:p w:rsidR="00065DD4" w:rsidRDefault="00065DD4" w:rsidP="0075118E">
      <w:r>
        <w:t xml:space="preserve">We are writing this letter to existing and proposed members of the Steering Committee for the Walla Walla Basin Integrated Flow Enhancement Study (Flow Study).  For existing members, this is a call to action to renew your participation to this important effort and diagnose whether your current role (i.e. voting, ex officio, or advisory) is appropriate moving forward.  For new members, we’re asking for you to consider participating in an advisory capacity to help inform our efforts moving forward, but are open to considering other participation levels if requested.  </w:t>
      </w:r>
    </w:p>
    <w:p w:rsidR="00065DD4" w:rsidRPr="00065DD4" w:rsidRDefault="00065DD4" w:rsidP="0075118E">
      <w:pPr>
        <w:rPr>
          <w:b/>
        </w:rPr>
      </w:pPr>
      <w:r w:rsidRPr="00065DD4">
        <w:rPr>
          <w:b/>
        </w:rPr>
        <w:t>What is the Flow Study?</w:t>
      </w:r>
    </w:p>
    <w:p w:rsidR="00065DD4" w:rsidRDefault="00065DD4" w:rsidP="0075118E">
      <w:bookmarkStart w:id="1" w:name="_Hlk492631069"/>
      <w:r>
        <w:t>The o</w:t>
      </w:r>
      <w:r w:rsidRPr="00065DD4">
        <w:t xml:space="preserve">bjective </w:t>
      </w:r>
      <w:r>
        <w:t>of the Flow Study is to</w:t>
      </w:r>
      <w:r w:rsidRPr="00065DD4">
        <w:t xml:space="preserve"> </w:t>
      </w:r>
      <w:r w:rsidR="00A66809">
        <w:t>determine the best package of options for achieving</w:t>
      </w:r>
      <w:r w:rsidR="006E2F6E">
        <w:t xml:space="preserve"> </w:t>
      </w:r>
      <w:r w:rsidRPr="00065DD4">
        <w:t>Walla Walla River stream flow</w:t>
      </w:r>
      <w:r w:rsidR="00A66809">
        <w:t xml:space="preserve"> target</w:t>
      </w:r>
      <w:r w:rsidRPr="00065DD4">
        <w:t xml:space="preserve">s </w:t>
      </w:r>
      <w:r w:rsidR="00A66809">
        <w:t>for native</w:t>
      </w:r>
      <w:r w:rsidRPr="00065DD4">
        <w:t xml:space="preserve"> fish species </w:t>
      </w:r>
      <w:r w:rsidR="008043DB">
        <w:t xml:space="preserve">while </w:t>
      </w:r>
      <w:r w:rsidR="00A66809">
        <w:t>maintaining the long-term viability and water availability for irrigated agriculture, residential, and urban use</w:t>
      </w:r>
      <w:r w:rsidRPr="00065DD4">
        <w:t>.</w:t>
      </w:r>
      <w:r w:rsidR="002C6D05">
        <w:t xml:space="preserve">  The Steering Committee has adopted the following flow targets that are intended to compliment instream flows adopt</w:t>
      </w:r>
      <w:r w:rsidR="00DB4096">
        <w:t>ed by rule in WAC 173-532-030.  The flows adopted in WAC 173-532-030 are higher in some cases than the Flow Study Flow Targets, but only apply to new water rights issued by Ecology, not existing water rights.  The Flow Study Flow Targets would be used to develop a list of projects that would ensure that the flows will be met while respecting existing water rights.  The result will be higher average instream flows and greater certainty for existing water users.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05"/>
        <w:gridCol w:w="2520"/>
        <w:gridCol w:w="4230"/>
      </w:tblGrid>
      <w:tr w:rsidR="000A17B2" w:rsidRPr="005F64B5" w:rsidTr="000A17B2">
        <w:trPr>
          <w:trHeight w:hRule="exact" w:val="392"/>
          <w:jc w:val="center"/>
        </w:trPr>
        <w:tc>
          <w:tcPr>
            <w:tcW w:w="2605" w:type="dxa"/>
            <w:shd w:val="clear" w:color="auto" w:fill="C0C0C0"/>
          </w:tcPr>
          <w:p w:rsidR="000A17B2" w:rsidRPr="005F64B5" w:rsidRDefault="000A17B2" w:rsidP="000A17B2">
            <w:pPr>
              <w:kinsoku w:val="0"/>
              <w:overflowPunct w:val="0"/>
              <w:autoSpaceDE w:val="0"/>
              <w:autoSpaceDN w:val="0"/>
              <w:adjustRightInd w:val="0"/>
              <w:spacing w:before="56"/>
              <w:ind w:left="441"/>
              <w:jc w:val="center"/>
            </w:pPr>
            <w:r w:rsidRPr="005F64B5">
              <w:rPr>
                <w:rFonts w:ascii="Cambria" w:hAnsi="Cambria" w:cs="Cambria"/>
                <w:b/>
                <w:bCs/>
                <w:sz w:val="20"/>
                <w:szCs w:val="20"/>
              </w:rPr>
              <w:t>Time</w:t>
            </w:r>
            <w:r w:rsidRPr="005F64B5">
              <w:rPr>
                <w:rFonts w:ascii="Cambria" w:hAnsi="Cambria" w:cs="Cambria"/>
                <w:b/>
                <w:bCs/>
                <w:spacing w:val="-3"/>
                <w:sz w:val="20"/>
                <w:szCs w:val="20"/>
              </w:rPr>
              <w:t xml:space="preserve"> </w:t>
            </w:r>
            <w:r w:rsidRPr="005F64B5">
              <w:rPr>
                <w:rFonts w:ascii="Cambria" w:hAnsi="Cambria" w:cs="Cambria"/>
                <w:b/>
                <w:bCs/>
                <w:sz w:val="20"/>
                <w:szCs w:val="20"/>
              </w:rPr>
              <w:t>Period</w:t>
            </w:r>
          </w:p>
        </w:tc>
        <w:tc>
          <w:tcPr>
            <w:tcW w:w="2520" w:type="dxa"/>
            <w:shd w:val="clear" w:color="auto" w:fill="C0C0C0"/>
          </w:tcPr>
          <w:p w:rsidR="000A17B2" w:rsidRPr="005F64B5" w:rsidRDefault="000A17B2" w:rsidP="000A17B2">
            <w:pPr>
              <w:kinsoku w:val="0"/>
              <w:overflowPunct w:val="0"/>
              <w:autoSpaceDE w:val="0"/>
              <w:autoSpaceDN w:val="0"/>
              <w:adjustRightInd w:val="0"/>
              <w:spacing w:before="56"/>
              <w:ind w:left="166"/>
              <w:jc w:val="center"/>
            </w:pPr>
            <w:r>
              <w:rPr>
                <w:rFonts w:ascii="Cambria" w:hAnsi="Cambria" w:cs="Cambria"/>
                <w:b/>
                <w:bCs/>
                <w:sz w:val="20"/>
                <w:szCs w:val="20"/>
              </w:rPr>
              <w:t xml:space="preserve">Flow Study </w:t>
            </w:r>
            <w:r w:rsidRPr="005F64B5">
              <w:rPr>
                <w:rFonts w:ascii="Cambria" w:hAnsi="Cambria" w:cs="Cambria"/>
                <w:b/>
                <w:bCs/>
                <w:sz w:val="20"/>
                <w:szCs w:val="20"/>
              </w:rPr>
              <w:t>Flow</w:t>
            </w:r>
            <w:r w:rsidRPr="005F64B5">
              <w:rPr>
                <w:rFonts w:ascii="Cambria" w:hAnsi="Cambria" w:cs="Cambria"/>
                <w:b/>
                <w:bCs/>
                <w:spacing w:val="-1"/>
                <w:sz w:val="20"/>
                <w:szCs w:val="20"/>
              </w:rPr>
              <w:t xml:space="preserve"> </w:t>
            </w:r>
            <w:r w:rsidRPr="005F64B5">
              <w:rPr>
                <w:rFonts w:ascii="Cambria" w:hAnsi="Cambria" w:cs="Cambria"/>
                <w:b/>
                <w:bCs/>
                <w:sz w:val="20"/>
                <w:szCs w:val="20"/>
              </w:rPr>
              <w:t>Target</w:t>
            </w:r>
            <w:r w:rsidR="00DB4096">
              <w:rPr>
                <w:rFonts w:ascii="Cambria" w:hAnsi="Cambria" w:cs="Cambria"/>
                <w:b/>
                <w:bCs/>
                <w:sz w:val="20"/>
                <w:szCs w:val="20"/>
              </w:rPr>
              <w:t>s</w:t>
            </w:r>
          </w:p>
        </w:tc>
        <w:tc>
          <w:tcPr>
            <w:tcW w:w="4230" w:type="dxa"/>
            <w:shd w:val="clear" w:color="auto" w:fill="C0C0C0"/>
          </w:tcPr>
          <w:p w:rsidR="000A17B2" w:rsidRPr="005F64B5" w:rsidRDefault="000A17B2" w:rsidP="000A17B2">
            <w:pPr>
              <w:kinsoku w:val="0"/>
              <w:overflowPunct w:val="0"/>
              <w:autoSpaceDE w:val="0"/>
              <w:autoSpaceDN w:val="0"/>
              <w:adjustRightInd w:val="0"/>
              <w:spacing w:before="56"/>
              <w:ind w:left="166"/>
              <w:jc w:val="center"/>
              <w:rPr>
                <w:rFonts w:ascii="Cambria" w:hAnsi="Cambria" w:cs="Cambria"/>
                <w:b/>
                <w:bCs/>
                <w:sz w:val="20"/>
                <w:szCs w:val="20"/>
              </w:rPr>
            </w:pPr>
            <w:r>
              <w:rPr>
                <w:rFonts w:ascii="Cambria" w:hAnsi="Cambria" w:cs="Cambria"/>
                <w:b/>
                <w:bCs/>
                <w:sz w:val="20"/>
                <w:szCs w:val="20"/>
              </w:rPr>
              <w:t>WAC 173-</w:t>
            </w:r>
            <w:r w:rsidR="00F171ED">
              <w:rPr>
                <w:rFonts w:ascii="Cambria" w:hAnsi="Cambria" w:cs="Cambria"/>
                <w:b/>
                <w:bCs/>
                <w:sz w:val="20"/>
                <w:szCs w:val="20"/>
              </w:rPr>
              <w:t>532</w:t>
            </w:r>
            <w:r>
              <w:rPr>
                <w:rFonts w:ascii="Cambria" w:hAnsi="Cambria" w:cs="Cambria"/>
                <w:b/>
                <w:bCs/>
                <w:sz w:val="20"/>
                <w:szCs w:val="20"/>
              </w:rPr>
              <w:t>-030 Flows Range by Gage</w:t>
            </w:r>
          </w:p>
        </w:tc>
      </w:tr>
      <w:tr w:rsidR="000A17B2" w:rsidRPr="005F64B5" w:rsidTr="000A17B2">
        <w:trPr>
          <w:trHeight w:hRule="exact" w:val="393"/>
          <w:jc w:val="center"/>
        </w:trPr>
        <w:tc>
          <w:tcPr>
            <w:tcW w:w="2605" w:type="dxa"/>
          </w:tcPr>
          <w:p w:rsidR="000A17B2" w:rsidRPr="005F64B5" w:rsidRDefault="000A17B2" w:rsidP="000A17B2">
            <w:pPr>
              <w:kinsoku w:val="0"/>
              <w:overflowPunct w:val="0"/>
              <w:autoSpaceDE w:val="0"/>
              <w:autoSpaceDN w:val="0"/>
              <w:adjustRightInd w:val="0"/>
              <w:spacing w:before="56"/>
              <w:ind w:left="486"/>
              <w:jc w:val="center"/>
            </w:pPr>
            <w:r w:rsidRPr="005F64B5">
              <w:rPr>
                <w:rFonts w:ascii="Cambria" w:hAnsi="Cambria" w:cs="Cambria"/>
                <w:b/>
                <w:bCs/>
                <w:sz w:val="20"/>
                <w:szCs w:val="20"/>
              </w:rPr>
              <w:t xml:space="preserve">April 1—June </w:t>
            </w:r>
            <w:r>
              <w:rPr>
                <w:rFonts w:ascii="Cambria" w:hAnsi="Cambria" w:cs="Cambria"/>
                <w:b/>
                <w:bCs/>
                <w:sz w:val="20"/>
                <w:szCs w:val="20"/>
              </w:rPr>
              <w:t>15</w:t>
            </w:r>
          </w:p>
        </w:tc>
        <w:tc>
          <w:tcPr>
            <w:tcW w:w="2520" w:type="dxa"/>
          </w:tcPr>
          <w:p w:rsidR="000A17B2" w:rsidRPr="005F64B5" w:rsidRDefault="000A17B2" w:rsidP="00FD1593">
            <w:pPr>
              <w:kinsoku w:val="0"/>
              <w:overflowPunct w:val="0"/>
              <w:autoSpaceDE w:val="0"/>
              <w:autoSpaceDN w:val="0"/>
              <w:adjustRightInd w:val="0"/>
              <w:spacing w:before="56"/>
              <w:ind w:left="82"/>
              <w:jc w:val="center"/>
            </w:pPr>
            <w:r w:rsidRPr="005F64B5">
              <w:rPr>
                <w:rFonts w:ascii="Cambria" w:hAnsi="Cambria" w:cs="Cambria"/>
                <w:b/>
                <w:bCs/>
                <w:sz w:val="20"/>
                <w:szCs w:val="20"/>
              </w:rPr>
              <w:t xml:space="preserve">150 </w:t>
            </w:r>
            <w:proofErr w:type="spellStart"/>
            <w:r>
              <w:rPr>
                <w:rFonts w:ascii="Cambria" w:hAnsi="Cambria" w:cs="Cambria"/>
                <w:b/>
                <w:bCs/>
                <w:sz w:val="20"/>
                <w:szCs w:val="20"/>
              </w:rPr>
              <w:t>cfs</w:t>
            </w:r>
            <w:proofErr w:type="spellEnd"/>
          </w:p>
        </w:tc>
        <w:tc>
          <w:tcPr>
            <w:tcW w:w="4230" w:type="dxa"/>
          </w:tcPr>
          <w:p w:rsidR="000A17B2" w:rsidRPr="005F64B5" w:rsidRDefault="000A17B2" w:rsidP="00FD1593">
            <w:pPr>
              <w:kinsoku w:val="0"/>
              <w:overflowPunct w:val="0"/>
              <w:autoSpaceDE w:val="0"/>
              <w:autoSpaceDN w:val="0"/>
              <w:adjustRightInd w:val="0"/>
              <w:spacing w:before="56"/>
              <w:ind w:left="82"/>
              <w:jc w:val="center"/>
              <w:rPr>
                <w:rFonts w:ascii="Cambria" w:hAnsi="Cambria" w:cs="Cambria"/>
                <w:b/>
                <w:bCs/>
                <w:sz w:val="20"/>
                <w:szCs w:val="20"/>
              </w:rPr>
            </w:pPr>
            <w:r>
              <w:rPr>
                <w:rFonts w:ascii="Cambria" w:hAnsi="Cambria" w:cs="Cambria"/>
                <w:b/>
                <w:bCs/>
                <w:sz w:val="20"/>
                <w:szCs w:val="20"/>
              </w:rPr>
              <w:t xml:space="preserve">95 </w:t>
            </w:r>
            <w:proofErr w:type="spellStart"/>
            <w:r>
              <w:rPr>
                <w:rFonts w:ascii="Cambria" w:hAnsi="Cambria" w:cs="Cambria"/>
                <w:b/>
                <w:bCs/>
                <w:sz w:val="20"/>
                <w:szCs w:val="20"/>
              </w:rPr>
              <w:t>cfs</w:t>
            </w:r>
            <w:proofErr w:type="spellEnd"/>
            <w:r>
              <w:rPr>
                <w:rFonts w:ascii="Cambria" w:hAnsi="Cambria" w:cs="Cambria"/>
                <w:b/>
                <w:bCs/>
                <w:sz w:val="20"/>
                <w:szCs w:val="20"/>
              </w:rPr>
              <w:t xml:space="preserve"> to 350 </w:t>
            </w:r>
            <w:proofErr w:type="spellStart"/>
            <w:r>
              <w:rPr>
                <w:rFonts w:ascii="Cambria" w:hAnsi="Cambria" w:cs="Cambria"/>
                <w:b/>
                <w:bCs/>
                <w:sz w:val="20"/>
                <w:szCs w:val="20"/>
              </w:rPr>
              <w:t>cfs</w:t>
            </w:r>
            <w:proofErr w:type="spellEnd"/>
          </w:p>
        </w:tc>
      </w:tr>
      <w:tr w:rsidR="000A17B2" w:rsidRPr="005F64B5" w:rsidTr="000A17B2">
        <w:trPr>
          <w:trHeight w:hRule="exact" w:val="393"/>
          <w:jc w:val="center"/>
        </w:trPr>
        <w:tc>
          <w:tcPr>
            <w:tcW w:w="2605" w:type="dxa"/>
          </w:tcPr>
          <w:p w:rsidR="000A17B2" w:rsidRPr="005F64B5" w:rsidRDefault="000A17B2" w:rsidP="000A17B2">
            <w:pPr>
              <w:kinsoku w:val="0"/>
              <w:overflowPunct w:val="0"/>
              <w:autoSpaceDE w:val="0"/>
              <w:autoSpaceDN w:val="0"/>
              <w:adjustRightInd w:val="0"/>
              <w:spacing w:before="56"/>
              <w:ind w:left="486"/>
              <w:jc w:val="center"/>
              <w:rPr>
                <w:rFonts w:ascii="Cambria" w:hAnsi="Cambria" w:cs="Cambria"/>
                <w:b/>
                <w:bCs/>
                <w:sz w:val="20"/>
                <w:szCs w:val="20"/>
              </w:rPr>
            </w:pPr>
            <w:r>
              <w:rPr>
                <w:rFonts w:ascii="Cambria" w:hAnsi="Cambria" w:cs="Cambria"/>
                <w:b/>
                <w:bCs/>
                <w:sz w:val="20"/>
                <w:szCs w:val="20"/>
              </w:rPr>
              <w:t>June</w:t>
            </w:r>
            <w:r w:rsidRPr="005F64B5">
              <w:rPr>
                <w:rFonts w:ascii="Cambria" w:hAnsi="Cambria" w:cs="Cambria"/>
                <w:b/>
                <w:bCs/>
                <w:sz w:val="20"/>
                <w:szCs w:val="20"/>
              </w:rPr>
              <w:t xml:space="preserve"> 1</w:t>
            </w:r>
            <w:r>
              <w:rPr>
                <w:rFonts w:ascii="Cambria" w:hAnsi="Cambria" w:cs="Cambria"/>
                <w:b/>
                <w:bCs/>
                <w:sz w:val="20"/>
                <w:szCs w:val="20"/>
              </w:rPr>
              <w:t>5</w:t>
            </w:r>
            <w:r w:rsidRPr="005F64B5">
              <w:rPr>
                <w:rFonts w:ascii="Cambria" w:hAnsi="Cambria" w:cs="Cambria"/>
                <w:b/>
                <w:bCs/>
                <w:sz w:val="20"/>
                <w:szCs w:val="20"/>
              </w:rPr>
              <w:t xml:space="preserve">—June </w:t>
            </w:r>
            <w:r>
              <w:rPr>
                <w:rFonts w:ascii="Cambria" w:hAnsi="Cambria" w:cs="Cambria"/>
                <w:b/>
                <w:bCs/>
                <w:sz w:val="20"/>
                <w:szCs w:val="20"/>
              </w:rPr>
              <w:t>30</w:t>
            </w:r>
          </w:p>
        </w:tc>
        <w:tc>
          <w:tcPr>
            <w:tcW w:w="2520" w:type="dxa"/>
          </w:tcPr>
          <w:p w:rsidR="000A17B2" w:rsidRPr="005F64B5" w:rsidRDefault="000A17B2" w:rsidP="00B87803">
            <w:pPr>
              <w:kinsoku w:val="0"/>
              <w:overflowPunct w:val="0"/>
              <w:autoSpaceDE w:val="0"/>
              <w:autoSpaceDN w:val="0"/>
              <w:adjustRightInd w:val="0"/>
              <w:spacing w:before="56"/>
              <w:ind w:left="82"/>
              <w:jc w:val="center"/>
              <w:rPr>
                <w:rFonts w:ascii="Cambria" w:hAnsi="Cambria" w:cs="Cambria"/>
                <w:b/>
                <w:bCs/>
                <w:sz w:val="20"/>
                <w:szCs w:val="20"/>
              </w:rPr>
            </w:pPr>
            <w:r>
              <w:rPr>
                <w:rFonts w:ascii="Cambria" w:hAnsi="Cambria" w:cs="Cambria"/>
                <w:b/>
                <w:bCs/>
                <w:sz w:val="20"/>
                <w:szCs w:val="20"/>
              </w:rPr>
              <w:t xml:space="preserve">100 </w:t>
            </w:r>
            <w:proofErr w:type="spellStart"/>
            <w:r>
              <w:rPr>
                <w:rFonts w:ascii="Cambria" w:hAnsi="Cambria" w:cs="Cambria"/>
                <w:b/>
                <w:bCs/>
                <w:sz w:val="20"/>
                <w:szCs w:val="20"/>
              </w:rPr>
              <w:t>cfs</w:t>
            </w:r>
            <w:proofErr w:type="spellEnd"/>
          </w:p>
        </w:tc>
        <w:tc>
          <w:tcPr>
            <w:tcW w:w="4230" w:type="dxa"/>
          </w:tcPr>
          <w:p w:rsidR="000A17B2" w:rsidRDefault="000A17B2" w:rsidP="00B87803">
            <w:pPr>
              <w:kinsoku w:val="0"/>
              <w:overflowPunct w:val="0"/>
              <w:autoSpaceDE w:val="0"/>
              <w:autoSpaceDN w:val="0"/>
              <w:adjustRightInd w:val="0"/>
              <w:spacing w:before="56"/>
              <w:ind w:left="82"/>
              <w:jc w:val="center"/>
              <w:rPr>
                <w:rFonts w:ascii="Cambria" w:hAnsi="Cambria" w:cs="Cambria"/>
                <w:b/>
                <w:bCs/>
                <w:sz w:val="20"/>
                <w:szCs w:val="20"/>
              </w:rPr>
            </w:pPr>
            <w:r>
              <w:rPr>
                <w:rFonts w:ascii="Cambria" w:hAnsi="Cambria" w:cs="Cambria"/>
                <w:b/>
                <w:bCs/>
                <w:sz w:val="20"/>
                <w:szCs w:val="20"/>
              </w:rPr>
              <w:t xml:space="preserve">95 </w:t>
            </w:r>
            <w:proofErr w:type="spellStart"/>
            <w:r>
              <w:rPr>
                <w:rFonts w:ascii="Cambria" w:hAnsi="Cambria" w:cs="Cambria"/>
                <w:b/>
                <w:bCs/>
                <w:sz w:val="20"/>
                <w:szCs w:val="20"/>
              </w:rPr>
              <w:t>cfs</w:t>
            </w:r>
            <w:proofErr w:type="spellEnd"/>
            <w:r>
              <w:rPr>
                <w:rFonts w:ascii="Cambria" w:hAnsi="Cambria" w:cs="Cambria"/>
                <w:b/>
                <w:bCs/>
                <w:sz w:val="20"/>
                <w:szCs w:val="20"/>
              </w:rPr>
              <w:t xml:space="preserve"> to 125 </w:t>
            </w:r>
            <w:proofErr w:type="spellStart"/>
            <w:r>
              <w:rPr>
                <w:rFonts w:ascii="Cambria" w:hAnsi="Cambria" w:cs="Cambria"/>
                <w:b/>
                <w:bCs/>
                <w:sz w:val="20"/>
                <w:szCs w:val="20"/>
              </w:rPr>
              <w:t>cfs</w:t>
            </w:r>
            <w:proofErr w:type="spellEnd"/>
          </w:p>
        </w:tc>
      </w:tr>
      <w:tr w:rsidR="000A17B2" w:rsidRPr="005F64B5" w:rsidTr="000A17B2">
        <w:trPr>
          <w:trHeight w:hRule="exact" w:val="405"/>
          <w:jc w:val="center"/>
        </w:trPr>
        <w:tc>
          <w:tcPr>
            <w:tcW w:w="2605" w:type="dxa"/>
          </w:tcPr>
          <w:p w:rsidR="000A17B2" w:rsidRPr="005F64B5" w:rsidRDefault="000A17B2" w:rsidP="000A17B2">
            <w:pPr>
              <w:kinsoku w:val="0"/>
              <w:overflowPunct w:val="0"/>
              <w:autoSpaceDE w:val="0"/>
              <w:autoSpaceDN w:val="0"/>
              <w:adjustRightInd w:val="0"/>
              <w:spacing w:before="55"/>
              <w:ind w:left="270"/>
              <w:jc w:val="center"/>
            </w:pPr>
            <w:r w:rsidRPr="005F64B5">
              <w:rPr>
                <w:rFonts w:ascii="Cambria" w:hAnsi="Cambria" w:cs="Cambria"/>
                <w:b/>
                <w:bCs/>
                <w:sz w:val="20"/>
                <w:szCs w:val="20"/>
              </w:rPr>
              <w:t>July 1—November</w:t>
            </w:r>
            <w:r w:rsidRPr="005F64B5">
              <w:rPr>
                <w:rFonts w:ascii="Cambria" w:hAnsi="Cambria" w:cs="Cambria"/>
                <w:b/>
                <w:bCs/>
                <w:spacing w:val="-2"/>
                <w:sz w:val="20"/>
                <w:szCs w:val="20"/>
              </w:rPr>
              <w:t xml:space="preserve"> </w:t>
            </w:r>
            <w:r w:rsidRPr="005F64B5">
              <w:rPr>
                <w:rFonts w:ascii="Cambria" w:hAnsi="Cambria" w:cs="Cambria"/>
                <w:b/>
                <w:bCs/>
                <w:sz w:val="20"/>
                <w:szCs w:val="20"/>
              </w:rPr>
              <w:t>30</w:t>
            </w:r>
          </w:p>
        </w:tc>
        <w:tc>
          <w:tcPr>
            <w:tcW w:w="2520" w:type="dxa"/>
          </w:tcPr>
          <w:p w:rsidR="000A17B2" w:rsidRPr="005F64B5" w:rsidRDefault="000A17B2" w:rsidP="00704B86">
            <w:pPr>
              <w:kinsoku w:val="0"/>
              <w:overflowPunct w:val="0"/>
              <w:autoSpaceDE w:val="0"/>
              <w:autoSpaceDN w:val="0"/>
              <w:adjustRightInd w:val="0"/>
              <w:spacing w:before="55"/>
              <w:ind w:left="82"/>
              <w:jc w:val="center"/>
            </w:pPr>
            <w:r>
              <w:rPr>
                <w:rFonts w:ascii="Cambria" w:hAnsi="Cambria" w:cs="Cambria"/>
                <w:b/>
                <w:bCs/>
                <w:sz w:val="20"/>
                <w:szCs w:val="20"/>
              </w:rPr>
              <w:t>65</w:t>
            </w:r>
            <w:r w:rsidRPr="005F64B5">
              <w:rPr>
                <w:rFonts w:ascii="Cambria" w:hAnsi="Cambria" w:cs="Cambria"/>
                <w:b/>
                <w:bCs/>
                <w:sz w:val="20"/>
                <w:szCs w:val="20"/>
              </w:rPr>
              <w:t xml:space="preserve"> </w:t>
            </w:r>
            <w:proofErr w:type="spellStart"/>
            <w:r>
              <w:rPr>
                <w:rFonts w:ascii="Cambria" w:hAnsi="Cambria" w:cs="Cambria"/>
                <w:b/>
                <w:bCs/>
                <w:sz w:val="20"/>
                <w:szCs w:val="20"/>
              </w:rPr>
              <w:t>cfs</w:t>
            </w:r>
            <w:proofErr w:type="spellEnd"/>
          </w:p>
        </w:tc>
        <w:tc>
          <w:tcPr>
            <w:tcW w:w="4230" w:type="dxa"/>
          </w:tcPr>
          <w:p w:rsidR="000A17B2" w:rsidRDefault="000A17B2" w:rsidP="00704B86">
            <w:pPr>
              <w:kinsoku w:val="0"/>
              <w:overflowPunct w:val="0"/>
              <w:autoSpaceDE w:val="0"/>
              <w:autoSpaceDN w:val="0"/>
              <w:adjustRightInd w:val="0"/>
              <w:spacing w:before="55"/>
              <w:ind w:left="82"/>
              <w:jc w:val="center"/>
              <w:rPr>
                <w:rFonts w:ascii="Cambria" w:hAnsi="Cambria" w:cs="Cambria"/>
                <w:b/>
                <w:bCs/>
                <w:sz w:val="20"/>
                <w:szCs w:val="20"/>
              </w:rPr>
            </w:pPr>
            <w:r>
              <w:rPr>
                <w:rFonts w:ascii="Cambria" w:hAnsi="Cambria" w:cs="Cambria"/>
                <w:b/>
                <w:bCs/>
                <w:sz w:val="20"/>
                <w:szCs w:val="20"/>
              </w:rPr>
              <w:t xml:space="preserve">41 </w:t>
            </w:r>
            <w:proofErr w:type="spellStart"/>
            <w:r>
              <w:rPr>
                <w:rFonts w:ascii="Cambria" w:hAnsi="Cambria" w:cs="Cambria"/>
                <w:b/>
                <w:bCs/>
                <w:sz w:val="20"/>
                <w:szCs w:val="20"/>
              </w:rPr>
              <w:t>cfs</w:t>
            </w:r>
            <w:proofErr w:type="spellEnd"/>
            <w:r>
              <w:rPr>
                <w:rFonts w:ascii="Cambria" w:hAnsi="Cambria" w:cs="Cambria"/>
                <w:b/>
                <w:bCs/>
                <w:sz w:val="20"/>
                <w:szCs w:val="20"/>
              </w:rPr>
              <w:t xml:space="preserve"> to 150 </w:t>
            </w:r>
            <w:proofErr w:type="spellStart"/>
            <w:r>
              <w:rPr>
                <w:rFonts w:ascii="Cambria" w:hAnsi="Cambria" w:cs="Cambria"/>
                <w:b/>
                <w:bCs/>
                <w:sz w:val="20"/>
                <w:szCs w:val="20"/>
              </w:rPr>
              <w:t>cfs</w:t>
            </w:r>
            <w:proofErr w:type="spellEnd"/>
          </w:p>
        </w:tc>
      </w:tr>
    </w:tbl>
    <w:p w:rsidR="00DD2B24" w:rsidRDefault="00DD2B24" w:rsidP="0075118E"/>
    <w:p w:rsidR="00DB4096" w:rsidRPr="00065DD4" w:rsidRDefault="00DB4096" w:rsidP="00DB4096">
      <w:pPr>
        <w:rPr>
          <w:b/>
        </w:rPr>
      </w:pPr>
      <w:r>
        <w:rPr>
          <w:b/>
        </w:rPr>
        <w:t>Who</w:t>
      </w:r>
      <w:r w:rsidRPr="00065DD4">
        <w:rPr>
          <w:b/>
        </w:rPr>
        <w:t xml:space="preserve"> is the </w:t>
      </w:r>
      <w:r>
        <w:rPr>
          <w:b/>
        </w:rPr>
        <w:t>Steering Committee</w:t>
      </w:r>
      <w:r w:rsidRPr="00065DD4">
        <w:rPr>
          <w:b/>
        </w:rPr>
        <w:t>?</w:t>
      </w:r>
    </w:p>
    <w:bookmarkEnd w:id="1"/>
    <w:p w:rsidR="00BF663D" w:rsidRDefault="00A50ABB" w:rsidP="00DB4096">
      <w:r>
        <w:t>Stakeholders in the Walla Walla</w:t>
      </w:r>
      <w:r w:rsidR="0049730F">
        <w:t xml:space="preserve"> River Basin </w:t>
      </w:r>
      <w:r w:rsidR="00E7442D">
        <w:t>have begun</w:t>
      </w:r>
      <w:r w:rsidR="0049730F">
        <w:t xml:space="preserve"> implementing the </w:t>
      </w:r>
      <w:r w:rsidR="00E7442D">
        <w:t>Flow Study process to</w:t>
      </w:r>
      <w:r w:rsidR="00175DEA">
        <w:t xml:space="preserve"> </w:t>
      </w:r>
      <w:r w:rsidR="0049730F">
        <w:t xml:space="preserve">determine the best package of </w:t>
      </w:r>
      <w:r w:rsidR="00DB4096">
        <w:t>projects</w:t>
      </w:r>
      <w:r w:rsidR="0049730F">
        <w:t xml:space="preserve"> for increasing streamflow while maintaining the long-term viability and water availability for irrigated agriculture, re</w:t>
      </w:r>
      <w:r w:rsidR="00AF5FB2">
        <w:t xml:space="preserve">sidential, and urban use.  </w:t>
      </w:r>
      <w:r w:rsidR="00DB4096">
        <w:t xml:space="preserve">The </w:t>
      </w:r>
      <w:r w:rsidR="00E7442D">
        <w:t>existing Steering Committee</w:t>
      </w:r>
      <w:r w:rsidR="00DB4096">
        <w:t xml:space="preserve"> is</w:t>
      </w:r>
      <w:r w:rsidR="0075118E">
        <w:t xml:space="preserve"> comprised of Oregon, Washington</w:t>
      </w:r>
      <w:r w:rsidR="00DB4096">
        <w:t>,</w:t>
      </w:r>
      <w:r w:rsidR="0075118E">
        <w:t xml:space="preserve"> and Tribal representatives</w:t>
      </w:r>
      <w:r w:rsidR="00DB4096">
        <w:t xml:space="preserve"> and have been regularly </w:t>
      </w:r>
      <w:r w:rsidR="00DB4096">
        <w:lastRenderedPageBreak/>
        <w:t>meeting for several years to collaboratively work towards meeting the Flow Study objectives</w:t>
      </w:r>
      <w:r w:rsidR="00E7442D">
        <w:t>.  The fol</w:t>
      </w:r>
      <w:r w:rsidR="00BF663D">
        <w:t>lowing table</w:t>
      </w:r>
      <w:r w:rsidR="00BC283C">
        <w:t>s identify</w:t>
      </w:r>
      <w:r w:rsidR="00BF663D">
        <w:t xml:space="preserve"> current and </w:t>
      </w:r>
      <w:r w:rsidR="00BC7ECA" w:rsidRPr="00D5448E">
        <w:rPr>
          <w:b/>
        </w:rPr>
        <w:t xml:space="preserve">newly </w:t>
      </w:r>
      <w:r w:rsidR="00BF663D" w:rsidRPr="00BF663D">
        <w:rPr>
          <w:b/>
          <w:i/>
        </w:rPr>
        <w:t>proposed</w:t>
      </w:r>
      <w:r w:rsidR="00BF663D">
        <w:t xml:space="preserve"> members</w:t>
      </w:r>
      <w:r w:rsidR="00BC7ECA">
        <w:t xml:space="preserve"> (in </w:t>
      </w:r>
      <w:r w:rsidR="00BC7ECA" w:rsidRPr="00D5448E">
        <w:rPr>
          <w:b/>
        </w:rPr>
        <w:t>bold)</w:t>
      </w:r>
      <w:r w:rsidR="00BF663D">
        <w:t xml:space="preserve"> of the Steering Committee and the roles for each category of member.</w:t>
      </w:r>
    </w:p>
    <w:tbl>
      <w:tblPr>
        <w:tblStyle w:val="TableGrid"/>
        <w:tblW w:w="0" w:type="auto"/>
        <w:tblLook w:val="04A0" w:firstRow="1" w:lastRow="0" w:firstColumn="1" w:lastColumn="0" w:noHBand="0" w:noVBand="1"/>
      </w:tblPr>
      <w:tblGrid>
        <w:gridCol w:w="4666"/>
        <w:gridCol w:w="4664"/>
      </w:tblGrid>
      <w:tr w:rsidR="00BF663D" w:rsidTr="00AF4740">
        <w:tc>
          <w:tcPr>
            <w:tcW w:w="9330" w:type="dxa"/>
            <w:gridSpan w:val="2"/>
            <w:tcBorders>
              <w:top w:val="single" w:sz="12" w:space="0" w:color="auto"/>
              <w:left w:val="single" w:sz="12" w:space="0" w:color="auto"/>
              <w:bottom w:val="single" w:sz="12" w:space="0" w:color="auto"/>
              <w:right w:val="single" w:sz="12" w:space="0" w:color="auto"/>
            </w:tcBorders>
          </w:tcPr>
          <w:p w:rsidR="00BF663D" w:rsidRDefault="00BF663D">
            <w:r>
              <w:t xml:space="preserve">Voting Members:  Attend meetings, review materials, provide feedback, and vote. </w:t>
            </w:r>
          </w:p>
        </w:tc>
      </w:tr>
      <w:tr w:rsidR="00BF663D" w:rsidTr="00AF4740">
        <w:tc>
          <w:tcPr>
            <w:tcW w:w="4666" w:type="dxa"/>
            <w:tcBorders>
              <w:top w:val="single" w:sz="12" w:space="0" w:color="auto"/>
            </w:tcBorders>
          </w:tcPr>
          <w:p w:rsidR="00BF663D" w:rsidRDefault="00BF663D">
            <w:r>
              <w:t>Gardena Farms Irrigation District</w:t>
            </w:r>
          </w:p>
        </w:tc>
        <w:tc>
          <w:tcPr>
            <w:tcW w:w="4664" w:type="dxa"/>
            <w:tcBorders>
              <w:top w:val="single" w:sz="12" w:space="0" w:color="auto"/>
            </w:tcBorders>
          </w:tcPr>
          <w:p w:rsidR="00BF663D" w:rsidRPr="00DB4096" w:rsidRDefault="00BF663D">
            <w:r w:rsidRPr="00DB4096">
              <w:t>Washington Department of Fish &amp; Wildlife</w:t>
            </w:r>
          </w:p>
        </w:tc>
      </w:tr>
      <w:tr w:rsidR="00BF663D" w:rsidTr="00AF4740">
        <w:tc>
          <w:tcPr>
            <w:tcW w:w="4666" w:type="dxa"/>
          </w:tcPr>
          <w:p w:rsidR="00BF663D" w:rsidRDefault="00BF663D">
            <w:r>
              <w:t>Walla Walla River Irrigation District</w:t>
            </w:r>
          </w:p>
        </w:tc>
        <w:tc>
          <w:tcPr>
            <w:tcW w:w="4664" w:type="dxa"/>
          </w:tcPr>
          <w:p w:rsidR="00BF663D" w:rsidRPr="00DB4096" w:rsidRDefault="00BF663D">
            <w:r w:rsidRPr="00DB4096">
              <w:t>Oregon Department of Fish &amp; Wildlife</w:t>
            </w:r>
          </w:p>
        </w:tc>
      </w:tr>
      <w:tr w:rsidR="00AF4740" w:rsidTr="00AF4740">
        <w:tc>
          <w:tcPr>
            <w:tcW w:w="4666" w:type="dxa"/>
          </w:tcPr>
          <w:p w:rsidR="00AF4740" w:rsidRDefault="00AF4740" w:rsidP="00AF4740">
            <w:r>
              <w:t>Hudson Bay District Improvement Company</w:t>
            </w:r>
          </w:p>
        </w:tc>
        <w:tc>
          <w:tcPr>
            <w:tcW w:w="4664" w:type="dxa"/>
          </w:tcPr>
          <w:p w:rsidR="00AF4740" w:rsidRPr="00AF4740" w:rsidRDefault="00AF4740" w:rsidP="00AF4740">
            <w:pPr>
              <w:rPr>
                <w:b/>
                <w:i/>
              </w:rPr>
            </w:pPr>
            <w:r w:rsidRPr="00AF4740">
              <w:rPr>
                <w:b/>
                <w:i/>
              </w:rPr>
              <w:t>Washington Water Trust</w:t>
            </w:r>
          </w:p>
        </w:tc>
      </w:tr>
      <w:tr w:rsidR="00BF663D" w:rsidTr="00AF4740">
        <w:tc>
          <w:tcPr>
            <w:tcW w:w="4666" w:type="dxa"/>
          </w:tcPr>
          <w:p w:rsidR="00BF663D" w:rsidRDefault="00BF663D">
            <w:proofErr w:type="spellStart"/>
            <w:r>
              <w:t>Bergevin</w:t>
            </w:r>
            <w:proofErr w:type="spellEnd"/>
            <w:r>
              <w:t xml:space="preserve"> – Williams and Old Lowden</w:t>
            </w:r>
          </w:p>
        </w:tc>
        <w:tc>
          <w:tcPr>
            <w:tcW w:w="4664" w:type="dxa"/>
          </w:tcPr>
          <w:p w:rsidR="00BF663D" w:rsidRPr="00DB4096" w:rsidRDefault="00BF663D">
            <w:r w:rsidRPr="00DB4096">
              <w:t>City of Walla Walla</w:t>
            </w:r>
          </w:p>
        </w:tc>
      </w:tr>
      <w:tr w:rsidR="00BF663D" w:rsidTr="00AF4740">
        <w:tc>
          <w:tcPr>
            <w:tcW w:w="4666" w:type="dxa"/>
          </w:tcPr>
          <w:p w:rsidR="00BF663D" w:rsidRDefault="00BF663D">
            <w:r>
              <w:t>Fruitvale Water Users Association</w:t>
            </w:r>
          </w:p>
        </w:tc>
        <w:tc>
          <w:tcPr>
            <w:tcW w:w="4664" w:type="dxa"/>
          </w:tcPr>
          <w:p w:rsidR="00BF663D" w:rsidRPr="00DB4096" w:rsidRDefault="00BF663D">
            <w:r w:rsidRPr="00DB4096">
              <w:t>City of Milton</w:t>
            </w:r>
            <w:r w:rsidR="00AF4740">
              <w:t>-</w:t>
            </w:r>
            <w:r w:rsidRPr="00DB4096">
              <w:t>Freewater</w:t>
            </w:r>
          </w:p>
        </w:tc>
      </w:tr>
      <w:tr w:rsidR="00BF663D" w:rsidTr="00AF4740">
        <w:tc>
          <w:tcPr>
            <w:tcW w:w="4666" w:type="dxa"/>
          </w:tcPr>
          <w:p w:rsidR="00BF663D" w:rsidRDefault="00BF663D">
            <w:r>
              <w:t>Confederated Tribes of the Umatilla Indian Reservation</w:t>
            </w:r>
          </w:p>
        </w:tc>
        <w:tc>
          <w:tcPr>
            <w:tcW w:w="4664" w:type="dxa"/>
          </w:tcPr>
          <w:p w:rsidR="00BF663D" w:rsidRDefault="00BF663D">
            <w:proofErr w:type="spellStart"/>
            <w:r>
              <w:t>Kooskooskie</w:t>
            </w:r>
            <w:proofErr w:type="spellEnd"/>
            <w:r>
              <w:t xml:space="preserve"> Commons</w:t>
            </w:r>
          </w:p>
        </w:tc>
      </w:tr>
    </w:tbl>
    <w:p w:rsidR="00BF663D" w:rsidRDefault="00BF663D"/>
    <w:tbl>
      <w:tblPr>
        <w:tblStyle w:val="TableGrid"/>
        <w:tblW w:w="0" w:type="auto"/>
        <w:tblLook w:val="04A0" w:firstRow="1" w:lastRow="0" w:firstColumn="1" w:lastColumn="0" w:noHBand="0" w:noVBand="1"/>
      </w:tblPr>
      <w:tblGrid>
        <w:gridCol w:w="4788"/>
        <w:gridCol w:w="4788"/>
      </w:tblGrid>
      <w:tr w:rsidR="00BF663D" w:rsidTr="00F94944">
        <w:tc>
          <w:tcPr>
            <w:tcW w:w="9576" w:type="dxa"/>
            <w:gridSpan w:val="2"/>
            <w:tcBorders>
              <w:top w:val="single" w:sz="12" w:space="0" w:color="auto"/>
              <w:left w:val="single" w:sz="12" w:space="0" w:color="auto"/>
              <w:bottom w:val="single" w:sz="12" w:space="0" w:color="auto"/>
              <w:right w:val="single" w:sz="12" w:space="0" w:color="auto"/>
            </w:tcBorders>
          </w:tcPr>
          <w:p w:rsidR="00BF663D" w:rsidRDefault="00BF663D">
            <w:r>
              <w:t xml:space="preserve">Ex-Officio Members: Same as voting members </w:t>
            </w:r>
            <w:r w:rsidR="00BC7ECA">
              <w:t xml:space="preserve">but </w:t>
            </w:r>
            <w:r>
              <w:t>without voting authority</w:t>
            </w:r>
          </w:p>
        </w:tc>
      </w:tr>
      <w:tr w:rsidR="00BF663D" w:rsidTr="00F94944">
        <w:tc>
          <w:tcPr>
            <w:tcW w:w="4788" w:type="dxa"/>
            <w:tcBorders>
              <w:top w:val="single" w:sz="12" w:space="0" w:color="auto"/>
            </w:tcBorders>
          </w:tcPr>
          <w:p w:rsidR="00BF663D" w:rsidRDefault="00BF663D"/>
        </w:tc>
        <w:tc>
          <w:tcPr>
            <w:tcW w:w="4788" w:type="dxa"/>
            <w:tcBorders>
              <w:top w:val="single" w:sz="12" w:space="0" w:color="auto"/>
            </w:tcBorders>
          </w:tcPr>
          <w:p w:rsidR="00BF663D" w:rsidRPr="00AF4740" w:rsidRDefault="00BC283C">
            <w:r w:rsidRPr="00AF4740">
              <w:t>Trout Unlimited</w:t>
            </w:r>
          </w:p>
        </w:tc>
      </w:tr>
      <w:tr w:rsidR="00BF663D" w:rsidTr="00BF663D">
        <w:tc>
          <w:tcPr>
            <w:tcW w:w="4788" w:type="dxa"/>
          </w:tcPr>
          <w:p w:rsidR="00BF663D" w:rsidRDefault="00BF663D">
            <w:r>
              <w:t>Walla Walla County Conservation District</w:t>
            </w:r>
          </w:p>
        </w:tc>
        <w:tc>
          <w:tcPr>
            <w:tcW w:w="4788" w:type="dxa"/>
          </w:tcPr>
          <w:p w:rsidR="00BF663D" w:rsidRPr="00AF4740" w:rsidRDefault="00BC283C">
            <w:r w:rsidRPr="00AF4740">
              <w:t>Columbia County Conservation District</w:t>
            </w:r>
          </w:p>
        </w:tc>
      </w:tr>
      <w:tr w:rsidR="00BF663D" w:rsidTr="00BF663D">
        <w:tc>
          <w:tcPr>
            <w:tcW w:w="4788" w:type="dxa"/>
          </w:tcPr>
          <w:p w:rsidR="00BF663D" w:rsidRDefault="00BC283C">
            <w:r>
              <w:t>Walla Walla</w:t>
            </w:r>
            <w:r w:rsidR="00BC7ECA">
              <w:t xml:space="preserve"> Basin</w:t>
            </w:r>
            <w:r>
              <w:t xml:space="preserve"> Watershed Council</w:t>
            </w:r>
          </w:p>
        </w:tc>
        <w:tc>
          <w:tcPr>
            <w:tcW w:w="4788" w:type="dxa"/>
          </w:tcPr>
          <w:p w:rsidR="00BF663D" w:rsidRPr="00AF4740" w:rsidRDefault="00BC283C">
            <w:r w:rsidRPr="00AF4740">
              <w:t xml:space="preserve">Umatilla County Soil and </w:t>
            </w:r>
            <w:r w:rsidR="00537CC6" w:rsidRPr="00AF4740">
              <w:t xml:space="preserve">Water </w:t>
            </w:r>
            <w:r w:rsidRPr="00AF4740">
              <w:t>Conservation District</w:t>
            </w:r>
          </w:p>
        </w:tc>
      </w:tr>
      <w:tr w:rsidR="00BF663D" w:rsidTr="00BF663D">
        <w:tc>
          <w:tcPr>
            <w:tcW w:w="4788" w:type="dxa"/>
          </w:tcPr>
          <w:p w:rsidR="00BF663D" w:rsidRDefault="00BC283C">
            <w:r>
              <w:t>Oregon Water Resources Department</w:t>
            </w:r>
          </w:p>
        </w:tc>
        <w:tc>
          <w:tcPr>
            <w:tcW w:w="4788" w:type="dxa"/>
          </w:tcPr>
          <w:p w:rsidR="00BF663D" w:rsidRPr="00AF4740" w:rsidRDefault="00BC283C">
            <w:r w:rsidRPr="00AF4740">
              <w:t>U.S. Fish and Wildlife Service</w:t>
            </w:r>
          </w:p>
        </w:tc>
      </w:tr>
      <w:tr w:rsidR="00BF663D" w:rsidTr="00BF663D">
        <w:tc>
          <w:tcPr>
            <w:tcW w:w="4788" w:type="dxa"/>
          </w:tcPr>
          <w:p w:rsidR="00BF663D" w:rsidRDefault="00BC283C">
            <w:r>
              <w:t>Washington Department of Ecology</w:t>
            </w:r>
          </w:p>
        </w:tc>
        <w:tc>
          <w:tcPr>
            <w:tcW w:w="4788" w:type="dxa"/>
          </w:tcPr>
          <w:p w:rsidR="00BF663D" w:rsidRPr="00AF4740" w:rsidRDefault="00BC283C">
            <w:r w:rsidRPr="00AF4740">
              <w:t>National Oceanic and Atmospheric Administration</w:t>
            </w:r>
          </w:p>
        </w:tc>
      </w:tr>
      <w:tr w:rsidR="00BF663D" w:rsidTr="00BF663D">
        <w:tc>
          <w:tcPr>
            <w:tcW w:w="4788" w:type="dxa"/>
          </w:tcPr>
          <w:p w:rsidR="00BF663D" w:rsidRDefault="00BF663D"/>
        </w:tc>
        <w:tc>
          <w:tcPr>
            <w:tcW w:w="4788" w:type="dxa"/>
          </w:tcPr>
          <w:p w:rsidR="00BF663D" w:rsidRPr="00AF4740" w:rsidRDefault="00BC283C">
            <w:r w:rsidRPr="00AF4740">
              <w:t xml:space="preserve">Oregon Department of </w:t>
            </w:r>
            <w:r w:rsidR="00AF4740">
              <w:t xml:space="preserve">Environmental </w:t>
            </w:r>
            <w:r w:rsidRPr="00AF4740">
              <w:t>Quality</w:t>
            </w:r>
          </w:p>
        </w:tc>
      </w:tr>
    </w:tbl>
    <w:p w:rsidR="00BF663D" w:rsidRDefault="00BF663D"/>
    <w:tbl>
      <w:tblPr>
        <w:tblStyle w:val="TableGrid"/>
        <w:tblW w:w="0" w:type="auto"/>
        <w:tblLook w:val="04A0" w:firstRow="1" w:lastRow="0" w:firstColumn="1" w:lastColumn="0" w:noHBand="0" w:noVBand="1"/>
      </w:tblPr>
      <w:tblGrid>
        <w:gridCol w:w="4670"/>
        <w:gridCol w:w="4660"/>
      </w:tblGrid>
      <w:tr w:rsidR="00BC283C" w:rsidTr="00AF4740">
        <w:tc>
          <w:tcPr>
            <w:tcW w:w="9330" w:type="dxa"/>
            <w:gridSpan w:val="2"/>
            <w:tcBorders>
              <w:top w:val="single" w:sz="12" w:space="0" w:color="auto"/>
              <w:left w:val="single" w:sz="12" w:space="0" w:color="auto"/>
              <w:bottom w:val="single" w:sz="12" w:space="0" w:color="auto"/>
              <w:right w:val="single" w:sz="12" w:space="0" w:color="auto"/>
            </w:tcBorders>
          </w:tcPr>
          <w:p w:rsidR="00BC283C" w:rsidRDefault="00BC283C" w:rsidP="00BC283C">
            <w:r>
              <w:t xml:space="preserve">Advisory Members:  Will be kept updated and can provide input to the level desired but not expected to attend meetings. </w:t>
            </w:r>
          </w:p>
        </w:tc>
      </w:tr>
      <w:tr w:rsidR="00BC283C" w:rsidTr="00AF4740">
        <w:tc>
          <w:tcPr>
            <w:tcW w:w="4670" w:type="dxa"/>
            <w:tcBorders>
              <w:top w:val="single" w:sz="12" w:space="0" w:color="auto"/>
            </w:tcBorders>
          </w:tcPr>
          <w:p w:rsidR="00BC283C" w:rsidRPr="00AF4740" w:rsidRDefault="00BC283C">
            <w:r w:rsidRPr="00AF4740">
              <w:t>Umatilla County Commissioners</w:t>
            </w:r>
          </w:p>
        </w:tc>
        <w:tc>
          <w:tcPr>
            <w:tcW w:w="4660" w:type="dxa"/>
            <w:tcBorders>
              <w:top w:val="single" w:sz="12" w:space="0" w:color="auto"/>
            </w:tcBorders>
          </w:tcPr>
          <w:p w:rsidR="00BC283C" w:rsidRPr="00AF4740" w:rsidRDefault="00F94944">
            <w:r w:rsidRPr="00AF4740">
              <w:t>Washington Department of Agriculture</w:t>
            </w:r>
          </w:p>
        </w:tc>
      </w:tr>
      <w:tr w:rsidR="00BC283C" w:rsidTr="00AF4740">
        <w:tc>
          <w:tcPr>
            <w:tcW w:w="4670" w:type="dxa"/>
          </w:tcPr>
          <w:p w:rsidR="00BC283C" w:rsidRPr="00AF4740" w:rsidRDefault="00BC283C">
            <w:r w:rsidRPr="00AF4740">
              <w:t>Walla Walla County Commissioners</w:t>
            </w:r>
          </w:p>
        </w:tc>
        <w:tc>
          <w:tcPr>
            <w:tcW w:w="4660" w:type="dxa"/>
          </w:tcPr>
          <w:p w:rsidR="00BC283C" w:rsidRPr="00AF4740" w:rsidRDefault="00F94944">
            <w:r w:rsidRPr="00AF4740">
              <w:t>Oregon Department of Agriculture</w:t>
            </w:r>
          </w:p>
        </w:tc>
      </w:tr>
      <w:tr w:rsidR="00BC283C" w:rsidTr="00AF4740">
        <w:tc>
          <w:tcPr>
            <w:tcW w:w="4670" w:type="dxa"/>
          </w:tcPr>
          <w:p w:rsidR="00BC283C" w:rsidRPr="00AF4740" w:rsidRDefault="00BC283C">
            <w:r w:rsidRPr="00AF4740">
              <w:t>Columbia County Commissioners</w:t>
            </w:r>
          </w:p>
        </w:tc>
        <w:tc>
          <w:tcPr>
            <w:tcW w:w="4660" w:type="dxa"/>
          </w:tcPr>
          <w:p w:rsidR="00BC283C" w:rsidRPr="00AF4740" w:rsidRDefault="00F94944">
            <w:r w:rsidRPr="00AF4740">
              <w:t>U.S. Corps of Engineers</w:t>
            </w:r>
          </w:p>
        </w:tc>
      </w:tr>
      <w:tr w:rsidR="00BC283C" w:rsidTr="00AF4740">
        <w:tc>
          <w:tcPr>
            <w:tcW w:w="4670" w:type="dxa"/>
          </w:tcPr>
          <w:p w:rsidR="00BC283C" w:rsidRPr="00AF4740" w:rsidRDefault="00BC283C">
            <w:r w:rsidRPr="00AF4740">
              <w:t xml:space="preserve">U.S. </w:t>
            </w:r>
            <w:r w:rsidR="00F94944" w:rsidRPr="00AF4740">
              <w:t>Congressional Staff</w:t>
            </w:r>
          </w:p>
        </w:tc>
        <w:tc>
          <w:tcPr>
            <w:tcW w:w="4660" w:type="dxa"/>
          </w:tcPr>
          <w:p w:rsidR="00BC283C" w:rsidRPr="00AF4740" w:rsidRDefault="00F94944">
            <w:r w:rsidRPr="00AF4740">
              <w:t>Bureau of Reclamation</w:t>
            </w:r>
          </w:p>
        </w:tc>
      </w:tr>
      <w:tr w:rsidR="00BC283C" w:rsidTr="00AF4740">
        <w:tc>
          <w:tcPr>
            <w:tcW w:w="4670" w:type="dxa"/>
          </w:tcPr>
          <w:p w:rsidR="00BC283C" w:rsidRPr="00AF4740" w:rsidRDefault="00F94944">
            <w:r w:rsidRPr="00AF4740">
              <w:t xml:space="preserve">State </w:t>
            </w:r>
            <w:r w:rsidR="00537CC6" w:rsidRPr="00AF4740">
              <w:t>elected officials/</w:t>
            </w:r>
            <w:r w:rsidRPr="00AF4740">
              <w:t xml:space="preserve"> Staff</w:t>
            </w:r>
          </w:p>
        </w:tc>
        <w:tc>
          <w:tcPr>
            <w:tcW w:w="4660" w:type="dxa"/>
          </w:tcPr>
          <w:p w:rsidR="00BC283C" w:rsidRPr="00AF4740" w:rsidRDefault="00F94944">
            <w:r w:rsidRPr="00AF4740">
              <w:t>U.S. Forest Service</w:t>
            </w:r>
          </w:p>
        </w:tc>
      </w:tr>
      <w:tr w:rsidR="00F94944" w:rsidTr="00AF4740">
        <w:tc>
          <w:tcPr>
            <w:tcW w:w="4670" w:type="dxa"/>
          </w:tcPr>
          <w:p w:rsidR="00F94944" w:rsidRPr="00AF4740" w:rsidRDefault="00F94944">
            <w:r w:rsidRPr="00AF4740">
              <w:t>National Resources Conservation Service</w:t>
            </w:r>
          </w:p>
        </w:tc>
        <w:tc>
          <w:tcPr>
            <w:tcW w:w="4660" w:type="dxa"/>
          </w:tcPr>
          <w:p w:rsidR="00F94944" w:rsidRPr="00AF4740" w:rsidRDefault="00F94944">
            <w:r w:rsidRPr="00AF4740">
              <w:t>Snake River Salmon Recovery Board</w:t>
            </w:r>
          </w:p>
        </w:tc>
      </w:tr>
      <w:tr w:rsidR="00AF4740" w:rsidTr="00AF4740">
        <w:tc>
          <w:tcPr>
            <w:tcW w:w="4670" w:type="dxa"/>
          </w:tcPr>
          <w:p w:rsidR="00AF4740" w:rsidRPr="00AF4740" w:rsidRDefault="00AF4740" w:rsidP="00AF4740">
            <w:r w:rsidRPr="00AF4740">
              <w:t>The Freshwater Trust</w:t>
            </w:r>
          </w:p>
        </w:tc>
        <w:tc>
          <w:tcPr>
            <w:tcW w:w="4660" w:type="dxa"/>
          </w:tcPr>
          <w:p w:rsidR="00AF4740" w:rsidRPr="00DB4096" w:rsidRDefault="00AF4740" w:rsidP="00AF4740">
            <w:r w:rsidRPr="00DB4096">
              <w:t xml:space="preserve">Tri-State </w:t>
            </w:r>
            <w:proofErr w:type="spellStart"/>
            <w:r w:rsidRPr="00DB4096">
              <w:t>Steelheaders</w:t>
            </w:r>
            <w:proofErr w:type="spellEnd"/>
          </w:p>
        </w:tc>
      </w:tr>
      <w:tr w:rsidR="00AF4740" w:rsidTr="00AF4740">
        <w:tc>
          <w:tcPr>
            <w:tcW w:w="4670" w:type="dxa"/>
          </w:tcPr>
          <w:p w:rsidR="00AF4740" w:rsidRPr="00AF4740" w:rsidRDefault="009A0479" w:rsidP="00AF4740">
            <w:pPr>
              <w:rPr>
                <w:b/>
                <w:i/>
              </w:rPr>
            </w:pPr>
            <w:r>
              <w:rPr>
                <w:b/>
                <w:i/>
              </w:rPr>
              <w:t>Washington Environmental Council</w:t>
            </w:r>
          </w:p>
        </w:tc>
        <w:tc>
          <w:tcPr>
            <w:tcW w:w="4660" w:type="dxa"/>
          </w:tcPr>
          <w:p w:rsidR="00AF4740" w:rsidRPr="00AF4740" w:rsidRDefault="009A0479" w:rsidP="00AF4740">
            <w:pPr>
              <w:rPr>
                <w:b/>
                <w:i/>
              </w:rPr>
            </w:pPr>
            <w:r>
              <w:rPr>
                <w:b/>
                <w:i/>
              </w:rPr>
              <w:t>American Rivers</w:t>
            </w:r>
          </w:p>
        </w:tc>
      </w:tr>
      <w:tr w:rsidR="009A0479" w:rsidTr="00AF4740">
        <w:tc>
          <w:tcPr>
            <w:tcW w:w="4670" w:type="dxa"/>
          </w:tcPr>
          <w:p w:rsidR="009A0479" w:rsidRDefault="009A0479" w:rsidP="00AF4740">
            <w:pPr>
              <w:rPr>
                <w:b/>
                <w:i/>
              </w:rPr>
            </w:pPr>
            <w:r>
              <w:rPr>
                <w:b/>
                <w:i/>
              </w:rPr>
              <w:t>Confederated Tribes of the Yakama Nation</w:t>
            </w:r>
          </w:p>
        </w:tc>
        <w:tc>
          <w:tcPr>
            <w:tcW w:w="4660" w:type="dxa"/>
          </w:tcPr>
          <w:p w:rsidR="009A0479" w:rsidRDefault="00096D81" w:rsidP="00AF4740">
            <w:pPr>
              <w:rPr>
                <w:b/>
                <w:i/>
              </w:rPr>
            </w:pPr>
            <w:r>
              <w:rPr>
                <w:b/>
                <w:i/>
              </w:rPr>
              <w:t>Nez Perce Tribe</w:t>
            </w:r>
          </w:p>
        </w:tc>
      </w:tr>
      <w:tr w:rsidR="00096D81" w:rsidTr="00AF4740">
        <w:tc>
          <w:tcPr>
            <w:tcW w:w="4670" w:type="dxa"/>
          </w:tcPr>
          <w:p w:rsidR="00096D81" w:rsidRDefault="00096D81" w:rsidP="00AF4740">
            <w:pPr>
              <w:rPr>
                <w:b/>
                <w:i/>
              </w:rPr>
            </w:pPr>
            <w:r>
              <w:rPr>
                <w:b/>
                <w:i/>
              </w:rPr>
              <w:t>Confederated Tribes of the Warm Springs Reservation</w:t>
            </w:r>
          </w:p>
        </w:tc>
        <w:tc>
          <w:tcPr>
            <w:tcW w:w="4660" w:type="dxa"/>
          </w:tcPr>
          <w:p w:rsidR="00096D81" w:rsidRDefault="00096D81" w:rsidP="00AF4740">
            <w:pPr>
              <w:rPr>
                <w:b/>
                <w:i/>
              </w:rPr>
            </w:pPr>
            <w:r>
              <w:rPr>
                <w:b/>
                <w:i/>
              </w:rPr>
              <w:t>Columbia River Inter-Tribal Fish Commission</w:t>
            </w:r>
          </w:p>
        </w:tc>
      </w:tr>
      <w:tr w:rsidR="00096D81" w:rsidTr="00AF4740">
        <w:tc>
          <w:tcPr>
            <w:tcW w:w="4670" w:type="dxa"/>
          </w:tcPr>
          <w:p w:rsidR="00096D81" w:rsidRDefault="00096D81" w:rsidP="00AF4740">
            <w:pPr>
              <w:rPr>
                <w:b/>
                <w:i/>
              </w:rPr>
            </w:pPr>
            <w:r>
              <w:rPr>
                <w:b/>
                <w:i/>
              </w:rPr>
              <w:t>Oregon Environmental Council</w:t>
            </w:r>
          </w:p>
        </w:tc>
        <w:tc>
          <w:tcPr>
            <w:tcW w:w="4660" w:type="dxa"/>
          </w:tcPr>
          <w:p w:rsidR="00096D81" w:rsidRDefault="00096D81" w:rsidP="00AF4740">
            <w:pPr>
              <w:rPr>
                <w:b/>
                <w:i/>
              </w:rPr>
            </w:pPr>
            <w:r>
              <w:rPr>
                <w:b/>
                <w:i/>
              </w:rPr>
              <w:t>Washington Farm Bureau</w:t>
            </w:r>
          </w:p>
        </w:tc>
      </w:tr>
      <w:tr w:rsidR="00096D81" w:rsidTr="00AF4740">
        <w:tc>
          <w:tcPr>
            <w:tcW w:w="4670" w:type="dxa"/>
          </w:tcPr>
          <w:p w:rsidR="00096D81" w:rsidRDefault="00096D81" w:rsidP="00AF4740">
            <w:pPr>
              <w:rPr>
                <w:b/>
                <w:i/>
              </w:rPr>
            </w:pPr>
            <w:r>
              <w:rPr>
                <w:b/>
                <w:i/>
              </w:rPr>
              <w:t>Oregon Farm Bureau Federation</w:t>
            </w:r>
          </w:p>
        </w:tc>
        <w:tc>
          <w:tcPr>
            <w:tcW w:w="4660" w:type="dxa"/>
          </w:tcPr>
          <w:p w:rsidR="00096D81" w:rsidRDefault="00096D81" w:rsidP="00AF4740">
            <w:pPr>
              <w:rPr>
                <w:b/>
                <w:i/>
              </w:rPr>
            </w:pPr>
            <w:r>
              <w:rPr>
                <w:b/>
                <w:i/>
              </w:rPr>
              <w:t>Columbia Riverkeeper</w:t>
            </w:r>
          </w:p>
        </w:tc>
      </w:tr>
      <w:tr w:rsidR="00096D81" w:rsidTr="00AF4740">
        <w:tc>
          <w:tcPr>
            <w:tcW w:w="4670" w:type="dxa"/>
          </w:tcPr>
          <w:p w:rsidR="00096D81" w:rsidRDefault="00096D81" w:rsidP="00AF4740">
            <w:pPr>
              <w:rPr>
                <w:b/>
                <w:i/>
              </w:rPr>
            </w:pPr>
            <w:r>
              <w:rPr>
                <w:b/>
                <w:i/>
              </w:rPr>
              <w:t>Blue Mountain Land Trust</w:t>
            </w:r>
          </w:p>
        </w:tc>
        <w:tc>
          <w:tcPr>
            <w:tcW w:w="4660" w:type="dxa"/>
          </w:tcPr>
          <w:p w:rsidR="00096D81" w:rsidRDefault="00096D81" w:rsidP="00AF4740">
            <w:pPr>
              <w:rPr>
                <w:b/>
                <w:i/>
              </w:rPr>
            </w:pPr>
            <w:r>
              <w:rPr>
                <w:b/>
                <w:i/>
              </w:rPr>
              <w:t>The Nature Conservancy</w:t>
            </w:r>
          </w:p>
        </w:tc>
      </w:tr>
      <w:tr w:rsidR="00096D81" w:rsidTr="00AF4740">
        <w:tc>
          <w:tcPr>
            <w:tcW w:w="4670" w:type="dxa"/>
          </w:tcPr>
          <w:p w:rsidR="00096D81" w:rsidRDefault="00096D81" w:rsidP="00AF4740">
            <w:pPr>
              <w:rPr>
                <w:b/>
                <w:i/>
              </w:rPr>
            </w:pPr>
            <w:r>
              <w:rPr>
                <w:b/>
                <w:i/>
              </w:rPr>
              <w:t>U.S. Environmental Protection Agency</w:t>
            </w:r>
          </w:p>
        </w:tc>
        <w:tc>
          <w:tcPr>
            <w:tcW w:w="4660" w:type="dxa"/>
          </w:tcPr>
          <w:p w:rsidR="00096D81" w:rsidRDefault="00096D81" w:rsidP="00AF4740">
            <w:pPr>
              <w:rPr>
                <w:b/>
                <w:i/>
              </w:rPr>
            </w:pPr>
            <w:r>
              <w:rPr>
                <w:b/>
                <w:i/>
              </w:rPr>
              <w:t>Oregon Water Watch</w:t>
            </w:r>
          </w:p>
        </w:tc>
      </w:tr>
      <w:tr w:rsidR="006E2F6E" w:rsidTr="00AF4740">
        <w:tc>
          <w:tcPr>
            <w:tcW w:w="4670" w:type="dxa"/>
          </w:tcPr>
          <w:p w:rsidR="006E2F6E" w:rsidRDefault="006E2F6E" w:rsidP="006E2F6E">
            <w:pPr>
              <w:rPr>
                <w:b/>
                <w:i/>
              </w:rPr>
            </w:pPr>
            <w:r>
              <w:rPr>
                <w:b/>
                <w:i/>
              </w:rPr>
              <w:t>Northeast Oregon Water Association</w:t>
            </w:r>
          </w:p>
        </w:tc>
        <w:tc>
          <w:tcPr>
            <w:tcW w:w="4660" w:type="dxa"/>
          </w:tcPr>
          <w:p w:rsidR="006E2F6E" w:rsidRDefault="006E2F6E" w:rsidP="006E2F6E">
            <w:pPr>
              <w:rPr>
                <w:b/>
                <w:i/>
              </w:rPr>
            </w:pPr>
            <w:r>
              <w:rPr>
                <w:b/>
                <w:i/>
              </w:rPr>
              <w:t>Oregon Water Resources Congress</w:t>
            </w:r>
          </w:p>
        </w:tc>
      </w:tr>
      <w:tr w:rsidR="006E2F6E" w:rsidTr="00AF4740">
        <w:tc>
          <w:tcPr>
            <w:tcW w:w="4670" w:type="dxa"/>
          </w:tcPr>
          <w:p w:rsidR="006E2F6E" w:rsidRDefault="006E2F6E" w:rsidP="006E2F6E">
            <w:pPr>
              <w:rPr>
                <w:b/>
                <w:i/>
              </w:rPr>
            </w:pPr>
            <w:r>
              <w:rPr>
                <w:b/>
                <w:i/>
              </w:rPr>
              <w:t>Washington State Water Resources Association</w:t>
            </w:r>
          </w:p>
        </w:tc>
        <w:tc>
          <w:tcPr>
            <w:tcW w:w="4660" w:type="dxa"/>
          </w:tcPr>
          <w:p w:rsidR="006E2F6E" w:rsidRDefault="006E2F6E" w:rsidP="006E2F6E">
            <w:pPr>
              <w:rPr>
                <w:b/>
                <w:i/>
              </w:rPr>
            </w:pPr>
          </w:p>
        </w:tc>
      </w:tr>
    </w:tbl>
    <w:p w:rsidR="00096D81" w:rsidRDefault="00096D81"/>
    <w:p w:rsidR="00096D81" w:rsidRPr="00096D81" w:rsidRDefault="00096D81">
      <w:pPr>
        <w:rPr>
          <w:b/>
        </w:rPr>
      </w:pPr>
      <w:r w:rsidRPr="00096D81">
        <w:rPr>
          <w:b/>
        </w:rPr>
        <w:t>Why Should You Actively Participate?</w:t>
      </w:r>
    </w:p>
    <w:p w:rsidR="003E4E0A" w:rsidRDefault="00BC7ECA">
      <w:r>
        <w:lastRenderedPageBreak/>
        <w:t xml:space="preserve">   </w:t>
      </w:r>
      <w:r w:rsidR="00F94944">
        <w:t xml:space="preserve">The Steering Committee </w:t>
      </w:r>
      <w:r w:rsidR="00701410">
        <w:t xml:space="preserve">understands </w:t>
      </w:r>
      <w:r w:rsidR="003E4E0A">
        <w:t>very well the commitment necessary</w:t>
      </w:r>
      <w:r w:rsidR="00701410">
        <w:t xml:space="preserve"> to participate in complex and sensitive water management planning efforts.  </w:t>
      </w:r>
      <w:r w:rsidR="00D504D9">
        <w:t xml:space="preserve">This is a critical time in the </w:t>
      </w:r>
      <w:r w:rsidR="001017FF">
        <w:t>development of the Flow S</w:t>
      </w:r>
      <w:r w:rsidR="00D504D9">
        <w:t>tudy.  Below is a summary of some of the key issues and plans currently facing the Steering Committee</w:t>
      </w:r>
      <w:r w:rsidR="001017FF">
        <w:t xml:space="preserve"> that your voice can help shape</w:t>
      </w:r>
      <w:r w:rsidR="00D504D9">
        <w:t>.</w:t>
      </w:r>
    </w:p>
    <w:p w:rsidR="00D504D9" w:rsidRDefault="00D504D9" w:rsidP="00D504D9">
      <w:pPr>
        <w:pStyle w:val="ListParagraph"/>
        <w:numPr>
          <w:ilvl w:val="0"/>
          <w:numId w:val="1"/>
        </w:numPr>
      </w:pPr>
      <w:r>
        <w:t>Five (5) Alternatives have been developed to move forward for further feasibility evaluation and environmental review that meet the Flow Study Objectives.</w:t>
      </w:r>
    </w:p>
    <w:p w:rsidR="00D504D9" w:rsidRDefault="00D504D9" w:rsidP="00D504D9">
      <w:pPr>
        <w:pStyle w:val="ListParagraph"/>
        <w:numPr>
          <w:ilvl w:val="0"/>
          <w:numId w:val="1"/>
        </w:numPr>
      </w:pPr>
      <w:r>
        <w:t>Environmental review, consisting of SEPA scoping and development of a NEPA/SEPA integration strategy is planned for 2018.</w:t>
      </w:r>
    </w:p>
    <w:p w:rsidR="00D504D9" w:rsidRDefault="00D504D9" w:rsidP="00D504D9">
      <w:pPr>
        <w:pStyle w:val="ListParagraph"/>
        <w:numPr>
          <w:ilvl w:val="0"/>
          <w:numId w:val="1"/>
        </w:numPr>
      </w:pPr>
      <w:r>
        <w:t xml:space="preserve">The 5 Alternatives range in cost from </w:t>
      </w:r>
      <w:r w:rsidR="00C70705">
        <w:t>approximately $16</w:t>
      </w:r>
      <w:r w:rsidR="001017FF">
        <w:t>9</w:t>
      </w:r>
      <w:r w:rsidR="00C70705">
        <w:t>M - $3</w:t>
      </w:r>
      <w:r w:rsidR="001017FF">
        <w:t>3</w:t>
      </w:r>
      <w:r w:rsidR="00C70705">
        <w:t>8M</w:t>
      </w:r>
      <w:r w:rsidR="001017FF">
        <w:t>, which will necessitate significant state, local, and federal funding partners.</w:t>
      </w:r>
    </w:p>
    <w:p w:rsidR="001017FF" w:rsidRDefault="001017FF" w:rsidP="00D504D9">
      <w:pPr>
        <w:pStyle w:val="ListParagraph"/>
        <w:numPr>
          <w:ilvl w:val="0"/>
          <w:numId w:val="1"/>
        </w:numPr>
      </w:pPr>
      <w:r>
        <w:t xml:space="preserve">The 5 Alternatives incorporate a myriad of projects including storage, conservation, water markets, aquifer recharge, and pump exchanges.  All 5 of the Alternatives include either a major pump station on the Columbia River that will exchange current irrigation district supplied by the Walla Walla River with Columbia River flows, or a new large reservoir in the Pine Creek Basin ranging in size from 33K to 45K acre-feet of water.  </w:t>
      </w:r>
    </w:p>
    <w:p w:rsidR="001017FF" w:rsidRDefault="001017FF" w:rsidP="00D504D9">
      <w:pPr>
        <w:pStyle w:val="ListParagraph"/>
        <w:numPr>
          <w:ilvl w:val="0"/>
          <w:numId w:val="1"/>
        </w:numPr>
      </w:pPr>
      <w:r>
        <w:t>Oregon and Washington are collaborating on ways to help ensure investments in flow improvements can be legally protected in both states.</w:t>
      </w:r>
    </w:p>
    <w:p w:rsidR="001017FF" w:rsidRDefault="001017FF" w:rsidP="00D504D9">
      <w:pPr>
        <w:pStyle w:val="ListParagraph"/>
        <w:numPr>
          <w:ilvl w:val="0"/>
          <w:numId w:val="1"/>
        </w:numPr>
      </w:pPr>
      <w:r>
        <w:t>We are in the process of revisiting our charter and operating procedures to determine how the Steering Committee can be transformed into a Bi-State Caucus with sufficient authority to meaningfully shape our plan moving forward.</w:t>
      </w:r>
    </w:p>
    <w:p w:rsidR="00175DEA" w:rsidRDefault="00BC7ECA">
      <w:r>
        <w:t xml:space="preserve">   </w:t>
      </w:r>
      <w:r w:rsidR="001017FF">
        <w:t>The</w:t>
      </w:r>
      <w:r w:rsidR="00175DEA">
        <w:t xml:space="preserve"> Walla Walla Basin Watershed Council </w:t>
      </w:r>
      <w:r w:rsidR="001017FF">
        <w:t xml:space="preserve">has maintained a robust website to summarize our work to date.  The following </w:t>
      </w:r>
      <w:r w:rsidR="00175DEA">
        <w:t xml:space="preserve">link </w:t>
      </w:r>
      <w:r w:rsidR="001017FF">
        <w:t>contains</w:t>
      </w:r>
      <w:r w:rsidR="00E7442D">
        <w:t xml:space="preserve"> more </w:t>
      </w:r>
      <w:r w:rsidR="001017FF">
        <w:t xml:space="preserve">information </w:t>
      </w:r>
      <w:r w:rsidR="00E7442D">
        <w:t xml:space="preserve">about the Flow Study status and </w:t>
      </w:r>
      <w:r w:rsidR="00175DEA">
        <w:t xml:space="preserve">existing </w:t>
      </w:r>
      <w:r w:rsidR="00E7442D">
        <w:t xml:space="preserve">products. </w:t>
      </w:r>
      <w:hyperlink r:id="rId9" w:history="1">
        <w:r w:rsidR="00E7442D" w:rsidRPr="00F40F2F">
          <w:rPr>
            <w:rStyle w:val="Hyperlink"/>
          </w:rPr>
          <w:t>http://www.wwbwc.org/assessment/57-wwflow.html</w:t>
        </w:r>
      </w:hyperlink>
    </w:p>
    <w:p w:rsidR="0075118E" w:rsidRDefault="00BC7ECA">
      <w:r>
        <w:t xml:space="preserve">   </w:t>
      </w:r>
      <w:r w:rsidR="003E4E0A">
        <w:t>The Steering Committee looks forward to integrating the expertise, ideas and resources of new members into the Flow Study.  Please co</w:t>
      </w:r>
      <w:r w:rsidR="0075118E">
        <w:t>ntact Chris Hyland</w:t>
      </w:r>
      <w:r w:rsidR="001017FF">
        <w:t xml:space="preserve"> (</w:t>
      </w:r>
      <w:r w:rsidR="0075118E">
        <w:t>contact information below</w:t>
      </w:r>
      <w:r w:rsidR="001017FF">
        <w:t>)</w:t>
      </w:r>
      <w:r w:rsidR="0075118E">
        <w:t>, with any questions and to respond to this important invitation.  If possible</w:t>
      </w:r>
      <w:r w:rsidR="004E1749">
        <w:t>, an acceptance</w:t>
      </w:r>
      <w:r w:rsidR="0075118E" w:rsidRPr="008F694A">
        <w:rPr>
          <w:color w:val="FF0000"/>
        </w:rPr>
        <w:t xml:space="preserve"> </w:t>
      </w:r>
      <w:r w:rsidR="0075118E">
        <w:t xml:space="preserve">response by </w:t>
      </w:r>
      <w:r w:rsidR="001017FF" w:rsidRPr="001017FF">
        <w:rPr>
          <w:highlight w:val="yellow"/>
        </w:rPr>
        <w:t>DATE</w:t>
      </w:r>
      <w:r w:rsidR="0075118E">
        <w:t>, would be appreciated.</w:t>
      </w:r>
    </w:p>
    <w:p w:rsidR="0075118E" w:rsidRDefault="0075118E" w:rsidP="00D5448E">
      <w:r>
        <w:t>Sincerely,</w:t>
      </w:r>
    </w:p>
    <w:p w:rsidR="0075118E" w:rsidRDefault="0075118E"/>
    <w:p w:rsidR="0075118E" w:rsidRDefault="0075118E"/>
    <w:p w:rsidR="00D5448E" w:rsidRDefault="0075118E" w:rsidP="00D5448E">
      <w:pPr>
        <w:spacing w:after="0"/>
      </w:pPr>
      <w:r>
        <w:t>Chris Hyland</w:t>
      </w:r>
      <w:r w:rsidR="00D5448E">
        <w:tab/>
      </w:r>
      <w:r w:rsidR="00D5448E">
        <w:tab/>
      </w:r>
      <w:r w:rsidR="00D5448E">
        <w:tab/>
      </w:r>
      <w:r w:rsidR="00D5448E">
        <w:tab/>
      </w:r>
      <w:r w:rsidR="00D5448E">
        <w:tab/>
      </w:r>
      <w:r w:rsidR="00D5448E">
        <w:tab/>
      </w:r>
      <w:r w:rsidR="00D5448E">
        <w:tab/>
        <w:t>Brian Wolcott</w:t>
      </w:r>
    </w:p>
    <w:p w:rsidR="00D5448E" w:rsidRDefault="00D5448E" w:rsidP="00D5448E">
      <w:pPr>
        <w:spacing w:after="0"/>
      </w:pPr>
      <w:r>
        <w:t>Executive Director</w:t>
      </w:r>
      <w:r>
        <w:tab/>
      </w:r>
      <w:r>
        <w:tab/>
      </w:r>
      <w:r>
        <w:tab/>
      </w:r>
      <w:r>
        <w:tab/>
      </w:r>
      <w:r>
        <w:tab/>
      </w:r>
      <w:r>
        <w:tab/>
        <w:t>Executive Director</w:t>
      </w:r>
    </w:p>
    <w:p w:rsidR="00065DD4" w:rsidRDefault="00D5448E" w:rsidP="00D5448E">
      <w:pPr>
        <w:spacing w:after="0"/>
      </w:pPr>
      <w:r>
        <w:t>Walla Walla Watershed Management Partnership</w:t>
      </w:r>
      <w:r w:rsidR="00024080">
        <w:tab/>
      </w:r>
      <w:r w:rsidR="00024080">
        <w:tab/>
      </w:r>
      <w:r>
        <w:t xml:space="preserve">Walla Walla Basin Watershed Council </w:t>
      </w:r>
    </w:p>
    <w:p w:rsidR="00065DD4" w:rsidRDefault="00065DD4" w:rsidP="00D5448E">
      <w:pPr>
        <w:spacing w:after="0"/>
      </w:pPr>
    </w:p>
    <w:sectPr w:rsidR="00065DD4" w:rsidSect="00E11E6E">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2D3" w:rsidRDefault="007312D3" w:rsidP="0075118E">
      <w:pPr>
        <w:spacing w:after="0" w:line="240" w:lineRule="auto"/>
      </w:pPr>
      <w:r>
        <w:separator/>
      </w:r>
    </w:p>
  </w:endnote>
  <w:endnote w:type="continuationSeparator" w:id="0">
    <w:p w:rsidR="007312D3" w:rsidRDefault="007312D3" w:rsidP="0075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2D3" w:rsidRDefault="007312D3" w:rsidP="0075118E">
      <w:pPr>
        <w:spacing w:after="0" w:line="240" w:lineRule="auto"/>
      </w:pPr>
      <w:r>
        <w:separator/>
      </w:r>
    </w:p>
  </w:footnote>
  <w:footnote w:type="continuationSeparator" w:id="0">
    <w:p w:rsidR="007312D3" w:rsidRDefault="007312D3" w:rsidP="00751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E6E" w:rsidRDefault="00E11E6E">
    <w:pPr>
      <w:pStyle w:val="Header"/>
    </w:pPr>
    <w:r w:rsidRPr="000E7336">
      <w:rPr>
        <w:noProof/>
      </w:rPr>
      <w:drawing>
        <wp:inline distT="0" distB="0" distL="0" distR="0" wp14:anchorId="55CABD00" wp14:editId="5DC19532">
          <wp:extent cx="6035040" cy="975360"/>
          <wp:effectExtent l="0" t="0" r="3810" b="0"/>
          <wp:docPr id="10" name="Picture 10" descr="wwbwclogo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bwclogo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6705" cy="9756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17EBD"/>
    <w:multiLevelType w:val="hybridMultilevel"/>
    <w:tmpl w:val="BA3C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BB"/>
    <w:rsid w:val="00024080"/>
    <w:rsid w:val="00065DD4"/>
    <w:rsid w:val="00096D81"/>
    <w:rsid w:val="000A17B2"/>
    <w:rsid w:val="000B29B2"/>
    <w:rsid w:val="001017FF"/>
    <w:rsid w:val="00175DEA"/>
    <w:rsid w:val="001D60DD"/>
    <w:rsid w:val="001F5117"/>
    <w:rsid w:val="00210E7B"/>
    <w:rsid w:val="002C6D05"/>
    <w:rsid w:val="003719DA"/>
    <w:rsid w:val="003A36D2"/>
    <w:rsid w:val="003E4E0A"/>
    <w:rsid w:val="0045408E"/>
    <w:rsid w:val="0049730F"/>
    <w:rsid w:val="004D0DCF"/>
    <w:rsid w:val="004E1749"/>
    <w:rsid w:val="004F675A"/>
    <w:rsid w:val="00537CC6"/>
    <w:rsid w:val="00573977"/>
    <w:rsid w:val="006352AA"/>
    <w:rsid w:val="006E2F6E"/>
    <w:rsid w:val="00701410"/>
    <w:rsid w:val="00704B86"/>
    <w:rsid w:val="007312D3"/>
    <w:rsid w:val="00746728"/>
    <w:rsid w:val="0075118E"/>
    <w:rsid w:val="007D0C2D"/>
    <w:rsid w:val="008043DB"/>
    <w:rsid w:val="00842B29"/>
    <w:rsid w:val="008F694A"/>
    <w:rsid w:val="0097524F"/>
    <w:rsid w:val="009A0479"/>
    <w:rsid w:val="00A13732"/>
    <w:rsid w:val="00A436DC"/>
    <w:rsid w:val="00A50ABB"/>
    <w:rsid w:val="00A66809"/>
    <w:rsid w:val="00AF4740"/>
    <w:rsid w:val="00AF5FB2"/>
    <w:rsid w:val="00B07318"/>
    <w:rsid w:val="00BC283C"/>
    <w:rsid w:val="00BC7ECA"/>
    <w:rsid w:val="00BD6FBA"/>
    <w:rsid w:val="00BF663D"/>
    <w:rsid w:val="00C52859"/>
    <w:rsid w:val="00C70705"/>
    <w:rsid w:val="00CD076E"/>
    <w:rsid w:val="00CF756D"/>
    <w:rsid w:val="00D504D9"/>
    <w:rsid w:val="00D5448E"/>
    <w:rsid w:val="00DB4096"/>
    <w:rsid w:val="00DD2B24"/>
    <w:rsid w:val="00E11E6E"/>
    <w:rsid w:val="00E7442D"/>
    <w:rsid w:val="00ED4CF2"/>
    <w:rsid w:val="00F171ED"/>
    <w:rsid w:val="00F65DBB"/>
    <w:rsid w:val="00F9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7197"/>
  <w15:docId w15:val="{2658BCF0-D458-45CF-9387-E54EBBF9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42D"/>
    <w:rPr>
      <w:color w:val="0000FF" w:themeColor="hyperlink"/>
      <w:u w:val="single"/>
    </w:rPr>
  </w:style>
  <w:style w:type="table" w:styleId="TableGrid">
    <w:name w:val="Table Grid"/>
    <w:basedOn w:val="TableNormal"/>
    <w:uiPriority w:val="59"/>
    <w:rsid w:val="00BF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18E"/>
  </w:style>
  <w:style w:type="paragraph" w:styleId="Footer">
    <w:name w:val="footer"/>
    <w:basedOn w:val="Normal"/>
    <w:link w:val="FooterChar"/>
    <w:uiPriority w:val="99"/>
    <w:unhideWhenUsed/>
    <w:rsid w:val="00751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18E"/>
  </w:style>
  <w:style w:type="paragraph" w:styleId="BalloonText">
    <w:name w:val="Balloon Text"/>
    <w:basedOn w:val="Normal"/>
    <w:link w:val="BalloonTextChar"/>
    <w:uiPriority w:val="99"/>
    <w:semiHidden/>
    <w:unhideWhenUsed/>
    <w:rsid w:val="00BC7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ECA"/>
    <w:rPr>
      <w:rFonts w:ascii="Segoe UI" w:hAnsi="Segoe UI" w:cs="Segoe UI"/>
      <w:sz w:val="18"/>
      <w:szCs w:val="18"/>
    </w:rPr>
  </w:style>
  <w:style w:type="paragraph" w:styleId="ListParagraph">
    <w:name w:val="List Paragraph"/>
    <w:basedOn w:val="Normal"/>
    <w:uiPriority w:val="34"/>
    <w:qFormat/>
    <w:rsid w:val="00D504D9"/>
    <w:pPr>
      <w:ind w:left="720"/>
      <w:contextualSpacing/>
    </w:pPr>
  </w:style>
  <w:style w:type="paragraph" w:styleId="Revision">
    <w:name w:val="Revision"/>
    <w:hidden/>
    <w:uiPriority w:val="99"/>
    <w:semiHidden/>
    <w:rsid w:val="006E2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4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wbwc.org/assessment/57-wwflow.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2950D-7F16-4E9E-8897-1F3BFF22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Reservati</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Marks</dc:creator>
  <cp:lastModifiedBy>Dan Haller</cp:lastModifiedBy>
  <cp:revision>7</cp:revision>
  <dcterms:created xsi:type="dcterms:W3CDTF">2017-09-12T16:08:00Z</dcterms:created>
  <dcterms:modified xsi:type="dcterms:W3CDTF">2017-10-05T01:39:00Z</dcterms:modified>
</cp:coreProperties>
</file>